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E9" w:rsidRDefault="00BA50E9" w:rsidP="00BA50E9">
      <w:pPr>
        <w:spacing w:line="242" w:lineRule="auto"/>
        <w:ind w:left="468" w:right="22" w:hanging="449"/>
        <w:jc w:val="right"/>
        <w:rPr>
          <w:rFonts w:ascii="Lucida Sans"/>
          <w:sz w:val="19"/>
        </w:rPr>
      </w:pPr>
      <w:r>
        <w:rPr>
          <w:rFonts w:ascii="Lucida Sans"/>
          <w:spacing w:val="-3"/>
          <w:w w:val="110"/>
          <w:sz w:val="19"/>
        </w:rPr>
        <w:t>Document Number:</w:t>
      </w:r>
      <w:r>
        <w:rPr>
          <w:rFonts w:ascii="Lucida Sans"/>
          <w:spacing w:val="-30"/>
          <w:w w:val="110"/>
          <w:sz w:val="19"/>
        </w:rPr>
        <w:t xml:space="preserve"> </w:t>
      </w:r>
      <w:r>
        <w:rPr>
          <w:rFonts w:ascii="Lucida Sans"/>
          <w:spacing w:val="-2"/>
          <w:w w:val="110"/>
          <w:sz w:val="19"/>
        </w:rPr>
        <w:t>COP-WFP-WFD-2</w:t>
      </w:r>
      <w:r w:rsidR="008A0AEC">
        <w:rPr>
          <w:rFonts w:ascii="Lucida Sans"/>
          <w:spacing w:val="-2"/>
          <w:w w:val="110"/>
          <w:sz w:val="19"/>
        </w:rPr>
        <w:t>4</w:t>
      </w:r>
      <w:bookmarkStart w:id="0" w:name="_GoBack"/>
      <w:bookmarkEnd w:id="0"/>
      <w:r>
        <w:rPr>
          <w:rFonts w:ascii="Lucida Sans"/>
          <w:spacing w:val="-2"/>
          <w:w w:val="110"/>
          <w:sz w:val="19"/>
        </w:rPr>
        <w:t>-2013-v1</w:t>
      </w:r>
    </w:p>
    <w:p w:rsidR="00510788" w:rsidRDefault="00510788">
      <w:pPr>
        <w:pStyle w:val="BodyText"/>
        <w:rPr>
          <w:rFonts w:ascii="Times New Roman"/>
          <w:sz w:val="20"/>
        </w:rPr>
      </w:pPr>
    </w:p>
    <w:p w:rsidR="00510788" w:rsidRDefault="00BA50E9">
      <w:pPr>
        <w:spacing w:before="188"/>
        <w:ind w:left="120" w:right="115"/>
        <w:rPr>
          <w:rFonts w:ascii="Cambria"/>
          <w:b/>
          <w:sz w:val="28"/>
        </w:rPr>
      </w:pPr>
      <w:bookmarkStart w:id="1" w:name="AWP_Project_Integration_Flowcharts_|_Eng"/>
      <w:bookmarkEnd w:id="1"/>
      <w:r>
        <w:rPr>
          <w:rFonts w:ascii="Cambria"/>
          <w:b/>
          <w:sz w:val="28"/>
        </w:rPr>
        <w:t>AWP Project Integration Flowcharts | Engineering Contractor</w:t>
      </w:r>
    </w:p>
    <w:p w:rsidR="00510788" w:rsidRDefault="00510788">
      <w:pPr>
        <w:pStyle w:val="BodyText"/>
        <w:rPr>
          <w:rFonts w:ascii="Cambria"/>
          <w:b/>
          <w:sz w:val="28"/>
        </w:rPr>
      </w:pPr>
    </w:p>
    <w:p w:rsidR="00510788" w:rsidRDefault="00BA50E9">
      <w:pPr>
        <w:pStyle w:val="BodyText"/>
        <w:spacing w:before="228" w:line="278" w:lineRule="auto"/>
        <w:ind w:left="120" w:right="115"/>
      </w:pPr>
      <w:r>
        <w:t>The major focus of AWP integration for the E contractor is to ensure engineering execution is aligned with the construction schedule and constructability recommendations to facilitate Workface execution during construction.</w:t>
      </w:r>
    </w:p>
    <w:p w:rsidR="00510788" w:rsidRDefault="00BA50E9">
      <w:pPr>
        <w:pStyle w:val="BodyText"/>
        <w:spacing w:before="194" w:line="276" w:lineRule="auto"/>
        <w:ind w:left="119" w:right="89"/>
      </w:pPr>
      <w:r>
        <w:t>During Stage 1 of the project, engineering personnel should be involved in construction planning to develop a plot plan and EWP boundaries that support the CWP definitions and path of construction identified by construction management. The information needed for this is taken from a number of sources, including the early path of construction development, constructability reviews, integrated planning sessions, and the Level 2 schedule review. Toward the end of Stage 1, the engineering contractor prepares the preliminary EWP release plan, which supports the AWP and CWP plans, and issues it for consideration during the development and review of the Level 3 project schedule. As the Level 3 schedule is developed and reviewed, an important requirement is to roll up individual engineering tasks into the identified EWPs. In addition to providing a higher level of detail in the execution plan, this facilitates progressing and reporting on engineering at individual EWP levels during Stage 2. When the plans are reviewed and finalized for the project, the engineering contractor can advance the AWP Project to Stage 2. There is a strong relationship between the level of detail in engineering contractor activities in Stage 1 and the probability of success of AWP on a project.</w:t>
      </w:r>
    </w:p>
    <w:p w:rsidR="00510788" w:rsidRDefault="00BA50E9">
      <w:pPr>
        <w:pStyle w:val="BodyText"/>
        <w:spacing w:before="197" w:line="276" w:lineRule="auto"/>
        <w:ind w:left="119" w:right="198"/>
      </w:pPr>
      <w:r>
        <w:t>When the project moves into Stage 2 and 3, the engineering contractor heavily references the preparations from Stage 1 to guide the work being performed. The major changes for the engineering contractor during these two final stages of a project are progressing and reporting by EWP. The engineering contractor also supports construction management personnel and the construction contractor, as required, while they are developing IWPs and performing the work in the field. Supply chain management will also require that status be performed by EWP in order to properly manage vendors and contractors. Once document tracking, procurement, and progress reporting have been formatted and established at the EWP level, there will be little difference from traditional engineering processes and procedures.</w:t>
      </w:r>
    </w:p>
    <w:p w:rsidR="00510788" w:rsidRDefault="00510788">
      <w:pPr>
        <w:pStyle w:val="BodyText"/>
        <w:spacing w:before="4"/>
        <w:rPr>
          <w:sz w:val="16"/>
        </w:rPr>
      </w:pPr>
    </w:p>
    <w:p w:rsidR="00510788" w:rsidRDefault="00BA50E9">
      <w:pPr>
        <w:ind w:left="119" w:right="115"/>
        <w:rPr>
          <w:b/>
          <w:i/>
        </w:rPr>
      </w:pPr>
      <w:r>
        <w:rPr>
          <w:b/>
          <w:i/>
        </w:rPr>
        <w:t>Key Points of AWP Integration:</w:t>
      </w:r>
    </w:p>
    <w:p w:rsidR="00510788" w:rsidRDefault="00510788">
      <w:pPr>
        <w:pStyle w:val="BodyText"/>
        <w:spacing w:before="6"/>
        <w:rPr>
          <w:b/>
          <w:i/>
          <w:sz w:val="19"/>
        </w:rPr>
      </w:pPr>
    </w:p>
    <w:p w:rsidR="00510788" w:rsidRDefault="00BA50E9">
      <w:pPr>
        <w:pStyle w:val="ListParagraph"/>
        <w:numPr>
          <w:ilvl w:val="0"/>
          <w:numId w:val="1"/>
        </w:numPr>
        <w:tabs>
          <w:tab w:val="left" w:pos="841"/>
        </w:tabs>
        <w:spacing w:before="0"/>
      </w:pPr>
      <w:r>
        <w:t>Schedule EWP completion to support the path of</w:t>
      </w:r>
      <w:r>
        <w:rPr>
          <w:spacing w:val="-18"/>
        </w:rPr>
        <w:t xml:space="preserve"> </w:t>
      </w:r>
      <w:r>
        <w:t>construction</w:t>
      </w:r>
    </w:p>
    <w:p w:rsidR="00510788" w:rsidRDefault="00BA50E9">
      <w:pPr>
        <w:pStyle w:val="ListParagraph"/>
        <w:numPr>
          <w:ilvl w:val="0"/>
          <w:numId w:val="1"/>
        </w:numPr>
        <w:tabs>
          <w:tab w:val="left" w:pos="841"/>
        </w:tabs>
      </w:pPr>
      <w:r>
        <w:t>Report engineering progress at the EWP</w:t>
      </w:r>
      <w:r>
        <w:rPr>
          <w:spacing w:val="-16"/>
        </w:rPr>
        <w:t xml:space="preserve"> </w:t>
      </w:r>
      <w:r>
        <w:t>level</w:t>
      </w:r>
    </w:p>
    <w:p w:rsidR="00510788" w:rsidRDefault="00BA50E9">
      <w:pPr>
        <w:pStyle w:val="ListParagraph"/>
        <w:numPr>
          <w:ilvl w:val="0"/>
          <w:numId w:val="1"/>
        </w:numPr>
        <w:tabs>
          <w:tab w:val="left" w:pos="841"/>
        </w:tabs>
        <w:ind w:hanging="360"/>
      </w:pPr>
      <w:r>
        <w:t>Respond to field RFIs in a manner that supports workface planning and</w:t>
      </w:r>
      <w:r>
        <w:rPr>
          <w:spacing w:val="-31"/>
        </w:rPr>
        <w:t xml:space="preserve"> </w:t>
      </w:r>
      <w:r>
        <w:t>execution</w:t>
      </w:r>
    </w:p>
    <w:sectPr w:rsidR="00510788">
      <w:type w:val="continuous"/>
      <w:pgSz w:w="12240" w:h="15840"/>
      <w:pgMar w:top="1500" w:right="1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E67E7"/>
    <w:multiLevelType w:val="hybridMultilevel"/>
    <w:tmpl w:val="D122C344"/>
    <w:lvl w:ilvl="0" w:tplc="7F50813E">
      <w:start w:val="1"/>
      <w:numFmt w:val="bullet"/>
      <w:lvlText w:val=""/>
      <w:lvlJc w:val="left"/>
      <w:pPr>
        <w:ind w:left="840" w:hanging="361"/>
      </w:pPr>
      <w:rPr>
        <w:rFonts w:ascii="Symbol" w:eastAsia="Symbol" w:hAnsi="Symbol" w:cs="Symbol" w:hint="default"/>
        <w:w w:val="100"/>
        <w:sz w:val="22"/>
        <w:szCs w:val="22"/>
      </w:rPr>
    </w:lvl>
    <w:lvl w:ilvl="1" w:tplc="CACA2210">
      <w:start w:val="1"/>
      <w:numFmt w:val="bullet"/>
      <w:lvlText w:val="•"/>
      <w:lvlJc w:val="left"/>
      <w:pPr>
        <w:ind w:left="1700" w:hanging="361"/>
      </w:pPr>
      <w:rPr>
        <w:rFonts w:hint="default"/>
      </w:rPr>
    </w:lvl>
    <w:lvl w:ilvl="2" w:tplc="2E7E2842">
      <w:start w:val="1"/>
      <w:numFmt w:val="bullet"/>
      <w:lvlText w:val="•"/>
      <w:lvlJc w:val="left"/>
      <w:pPr>
        <w:ind w:left="2560" w:hanging="361"/>
      </w:pPr>
      <w:rPr>
        <w:rFonts w:hint="default"/>
      </w:rPr>
    </w:lvl>
    <w:lvl w:ilvl="3" w:tplc="D5969ADA">
      <w:start w:val="1"/>
      <w:numFmt w:val="bullet"/>
      <w:lvlText w:val="•"/>
      <w:lvlJc w:val="left"/>
      <w:pPr>
        <w:ind w:left="3420" w:hanging="361"/>
      </w:pPr>
      <w:rPr>
        <w:rFonts w:hint="default"/>
      </w:rPr>
    </w:lvl>
    <w:lvl w:ilvl="4" w:tplc="4948D788">
      <w:start w:val="1"/>
      <w:numFmt w:val="bullet"/>
      <w:lvlText w:val="•"/>
      <w:lvlJc w:val="left"/>
      <w:pPr>
        <w:ind w:left="4280" w:hanging="361"/>
      </w:pPr>
      <w:rPr>
        <w:rFonts w:hint="default"/>
      </w:rPr>
    </w:lvl>
    <w:lvl w:ilvl="5" w:tplc="3B1E5A52">
      <w:start w:val="1"/>
      <w:numFmt w:val="bullet"/>
      <w:lvlText w:val="•"/>
      <w:lvlJc w:val="left"/>
      <w:pPr>
        <w:ind w:left="5140" w:hanging="361"/>
      </w:pPr>
      <w:rPr>
        <w:rFonts w:hint="default"/>
      </w:rPr>
    </w:lvl>
    <w:lvl w:ilvl="6" w:tplc="4F967E64">
      <w:start w:val="1"/>
      <w:numFmt w:val="bullet"/>
      <w:lvlText w:val="•"/>
      <w:lvlJc w:val="left"/>
      <w:pPr>
        <w:ind w:left="6000" w:hanging="361"/>
      </w:pPr>
      <w:rPr>
        <w:rFonts w:hint="default"/>
      </w:rPr>
    </w:lvl>
    <w:lvl w:ilvl="7" w:tplc="620CEEC4">
      <w:start w:val="1"/>
      <w:numFmt w:val="bullet"/>
      <w:lvlText w:val="•"/>
      <w:lvlJc w:val="left"/>
      <w:pPr>
        <w:ind w:left="6860" w:hanging="361"/>
      </w:pPr>
      <w:rPr>
        <w:rFonts w:hint="default"/>
      </w:rPr>
    </w:lvl>
    <w:lvl w:ilvl="8" w:tplc="8A50AD00">
      <w:start w:val="1"/>
      <w:numFmt w:val="bullet"/>
      <w:lvlText w:val="•"/>
      <w:lvlJc w:val="left"/>
      <w:pPr>
        <w:ind w:left="772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10788"/>
    <w:rsid w:val="00510788"/>
    <w:rsid w:val="008A0AEC"/>
    <w:rsid w:val="00BA5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A5E9"/>
  <w15:docId w15:val="{688F3D75-A2D0-4335-9FB6-E9934BC6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Manktelow</dc:creator>
  <cp:lastModifiedBy>Reception</cp:lastModifiedBy>
  <cp:revision>3</cp:revision>
  <dcterms:created xsi:type="dcterms:W3CDTF">2016-08-03T15:19:00Z</dcterms:created>
  <dcterms:modified xsi:type="dcterms:W3CDTF">2016-09-23T16:37:00Z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Acrobat PDFMaker 11 for Word</vt:lpwstr>
  </property>
  <property fmtid="{D5CDD505-2E9C-101B-9397-08002B2CF9AE}" pid="4" name="LastSaved">
    <vt:filetime>2016-08-03T00:00:00Z</vt:filetime>
  </property>
</Properties>
</file>