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13C" w:rsidRDefault="00D2013C">
      <w:pPr>
        <w:pStyle w:val="BodyText"/>
        <w:rPr>
          <w:rFonts w:ascii="Times New Roman"/>
          <w:sz w:val="20"/>
        </w:rPr>
      </w:pPr>
      <w:bookmarkStart w:id="0" w:name="_GoBack"/>
      <w:bookmarkEnd w:id="0"/>
    </w:p>
    <w:p w:rsidR="00D2013C" w:rsidRDefault="00D2013C">
      <w:pPr>
        <w:pStyle w:val="BodyText"/>
        <w:rPr>
          <w:rFonts w:ascii="Times New Roman"/>
          <w:sz w:val="20"/>
        </w:rPr>
      </w:pPr>
    </w:p>
    <w:p w:rsidR="00D2013C" w:rsidRDefault="00D2013C">
      <w:pPr>
        <w:pStyle w:val="BodyText"/>
        <w:rPr>
          <w:rFonts w:ascii="Times New Roman"/>
          <w:sz w:val="20"/>
        </w:rPr>
      </w:pPr>
    </w:p>
    <w:p w:rsidR="00D2013C" w:rsidRDefault="00D2013C">
      <w:pPr>
        <w:pStyle w:val="BodyText"/>
        <w:rPr>
          <w:rFonts w:ascii="Times New Roman"/>
          <w:sz w:val="20"/>
        </w:rPr>
      </w:pPr>
    </w:p>
    <w:p w:rsidR="00D2013C" w:rsidRDefault="00D2013C">
      <w:pPr>
        <w:pStyle w:val="BodyText"/>
        <w:spacing w:before="4"/>
        <w:rPr>
          <w:rFonts w:ascii="Times New Roman"/>
          <w:sz w:val="26"/>
        </w:rPr>
      </w:pPr>
    </w:p>
    <w:p w:rsidR="00D2013C" w:rsidRDefault="00A62DA7">
      <w:pPr>
        <w:spacing w:before="30"/>
        <w:ind w:left="931" w:right="1606"/>
        <w:rPr>
          <w:b/>
          <w:sz w:val="35"/>
        </w:rPr>
      </w:pPr>
      <w:r>
        <w:rPr>
          <w:b/>
          <w:color w:val="DD7C1E"/>
          <w:sz w:val="35"/>
        </w:rPr>
        <w:t>SLIDE #5 IWP CLOSE OUT</w:t>
      </w:r>
    </w:p>
    <w:p w:rsidR="00D2013C" w:rsidRDefault="00D2013C">
      <w:pPr>
        <w:pStyle w:val="BodyText"/>
        <w:spacing w:before="5"/>
        <w:rPr>
          <w:b/>
          <w:sz w:val="43"/>
        </w:rPr>
      </w:pPr>
    </w:p>
    <w:p w:rsidR="00D2013C" w:rsidRDefault="00A62DA7">
      <w:pPr>
        <w:pStyle w:val="Heading1"/>
      </w:pPr>
      <w:r>
        <w:rPr>
          <w:color w:val="DD7C1E"/>
        </w:rPr>
        <w:t>Scope</w:t>
      </w:r>
    </w:p>
    <w:p w:rsidR="00D2013C" w:rsidRDefault="00D2013C">
      <w:pPr>
        <w:pStyle w:val="BodyText"/>
        <w:spacing w:before="7"/>
        <w:rPr>
          <w:b/>
          <w:sz w:val="33"/>
        </w:rPr>
      </w:pPr>
    </w:p>
    <w:p w:rsidR="00D2013C" w:rsidRDefault="00A62DA7">
      <w:pPr>
        <w:pStyle w:val="BodyText"/>
        <w:spacing w:line="283" w:lineRule="auto"/>
        <w:ind w:left="931" w:right="1606"/>
      </w:pPr>
      <w:r>
        <w:t>After an Installation Work Package (IWP) has been appropriately executed in the field, it is necessary to ensure that the IWP is closed properly. This close out process includes confirmation of installed quantities and properly documenting installation dev</w:t>
      </w:r>
      <w:r>
        <w:t>iations necessary for ‘as-built’ documentation  requirements.</w:t>
      </w:r>
    </w:p>
    <w:p w:rsidR="00D2013C" w:rsidRDefault="00D2013C">
      <w:pPr>
        <w:pStyle w:val="BodyText"/>
        <w:spacing w:before="3"/>
        <w:rPr>
          <w:sz w:val="28"/>
        </w:rPr>
      </w:pPr>
    </w:p>
    <w:p w:rsidR="00D2013C" w:rsidRDefault="00A62DA7">
      <w:pPr>
        <w:pStyle w:val="BodyText"/>
        <w:spacing w:line="280" w:lineRule="auto"/>
        <w:ind w:left="931" w:right="1509"/>
      </w:pPr>
      <w:r>
        <w:t>The planning department is to work with project controls to ensure that quantities installed for each IWP are accurately captured. Additionally, for each IWP, the planning department is to  wor</w:t>
      </w:r>
      <w:r>
        <w:t xml:space="preserve">k with document control and if necessary field engineering to identify, amend and  document any installation deviations from the Approved for Construction (AFC) drawings used   in the IWP necessary to accurately develop ‘as-built’ </w:t>
      </w:r>
      <w:r>
        <w:rPr>
          <w:spacing w:val="30"/>
        </w:rPr>
        <w:t xml:space="preserve"> </w:t>
      </w:r>
      <w:r>
        <w:t>drawings.</w:t>
      </w:r>
    </w:p>
    <w:p w:rsidR="00D2013C" w:rsidRDefault="00D2013C">
      <w:pPr>
        <w:pStyle w:val="BodyText"/>
        <w:rPr>
          <w:sz w:val="20"/>
        </w:rPr>
      </w:pPr>
    </w:p>
    <w:p w:rsidR="00D2013C" w:rsidRDefault="00D2013C">
      <w:pPr>
        <w:pStyle w:val="BodyText"/>
        <w:rPr>
          <w:sz w:val="18"/>
        </w:rPr>
      </w:pPr>
    </w:p>
    <w:p w:rsidR="00D2013C" w:rsidRDefault="00A62DA7">
      <w:pPr>
        <w:pStyle w:val="Heading1"/>
      </w:pPr>
      <w:r>
        <w:rPr>
          <w:color w:val="DD7C1E"/>
        </w:rPr>
        <w:t>Assumptions</w:t>
      </w:r>
    </w:p>
    <w:p w:rsidR="00D2013C" w:rsidRDefault="00D2013C">
      <w:pPr>
        <w:pStyle w:val="BodyText"/>
        <w:spacing w:before="8"/>
        <w:rPr>
          <w:b/>
          <w:sz w:val="33"/>
        </w:rPr>
      </w:pPr>
    </w:p>
    <w:p w:rsidR="00D2013C" w:rsidRDefault="00A62DA7">
      <w:pPr>
        <w:pStyle w:val="ListParagraph"/>
        <w:numPr>
          <w:ilvl w:val="0"/>
          <w:numId w:val="1"/>
        </w:numPr>
        <w:tabs>
          <w:tab w:val="left" w:pos="1633"/>
        </w:tabs>
        <w:spacing w:line="278" w:lineRule="auto"/>
        <w:ind w:right="1611" w:hanging="350"/>
        <w:rPr>
          <w:sz w:val="21"/>
        </w:rPr>
      </w:pPr>
      <w:r>
        <w:rPr>
          <w:sz w:val="21"/>
        </w:rPr>
        <w:t>There are established processes and procedures that address how to capture, report and validate installed</w:t>
      </w:r>
      <w:r>
        <w:rPr>
          <w:spacing w:val="39"/>
          <w:sz w:val="21"/>
        </w:rPr>
        <w:t xml:space="preserve"> </w:t>
      </w:r>
      <w:r>
        <w:rPr>
          <w:sz w:val="21"/>
        </w:rPr>
        <w:t>quantities.</w:t>
      </w:r>
    </w:p>
    <w:p w:rsidR="00D2013C" w:rsidRDefault="00A62DA7">
      <w:pPr>
        <w:pStyle w:val="ListParagraph"/>
        <w:numPr>
          <w:ilvl w:val="0"/>
          <w:numId w:val="1"/>
        </w:numPr>
        <w:tabs>
          <w:tab w:val="left" w:pos="1633"/>
        </w:tabs>
        <w:spacing w:before="3" w:line="280" w:lineRule="auto"/>
        <w:ind w:right="1453" w:hanging="350"/>
        <w:rPr>
          <w:sz w:val="21"/>
        </w:rPr>
      </w:pPr>
      <w:r>
        <w:rPr>
          <w:sz w:val="21"/>
        </w:rPr>
        <w:t>There are established processes and procedures that address ‘as-built’ documentation requirements.</w:t>
      </w:r>
    </w:p>
    <w:p w:rsidR="00D2013C" w:rsidRDefault="00D2013C">
      <w:pPr>
        <w:pStyle w:val="BodyText"/>
        <w:rPr>
          <w:sz w:val="20"/>
        </w:rPr>
      </w:pPr>
    </w:p>
    <w:p w:rsidR="00D2013C" w:rsidRDefault="00D2013C">
      <w:pPr>
        <w:pStyle w:val="BodyText"/>
        <w:spacing w:before="2"/>
        <w:rPr>
          <w:sz w:val="18"/>
        </w:rPr>
      </w:pPr>
    </w:p>
    <w:p w:rsidR="00D2013C" w:rsidRDefault="00A62DA7">
      <w:pPr>
        <w:pStyle w:val="Heading1"/>
      </w:pPr>
      <w:r>
        <w:rPr>
          <w:color w:val="DD7C1E"/>
        </w:rPr>
        <w:t>Recommendations</w:t>
      </w:r>
    </w:p>
    <w:p w:rsidR="00D2013C" w:rsidRDefault="00D2013C">
      <w:pPr>
        <w:pStyle w:val="BodyText"/>
        <w:spacing w:before="7"/>
        <w:rPr>
          <w:b/>
          <w:sz w:val="33"/>
        </w:rPr>
      </w:pPr>
    </w:p>
    <w:p w:rsidR="00D2013C" w:rsidRDefault="00A62DA7">
      <w:pPr>
        <w:pStyle w:val="BodyText"/>
        <w:spacing w:line="280" w:lineRule="auto"/>
        <w:ind w:left="931" w:right="1509"/>
      </w:pPr>
      <w:r>
        <w:t>Assign specific responsibilities to select individuals for the close out of IWPs. Develop a flow chart to simply communicate the requirements for verification of installed quantities and ‘as- built’ drawings to close out IWPs. Conduct periodic internal aud</w:t>
      </w:r>
      <w:r>
        <w:t>its to ensure that the IWP close out process is working and is accurately collecting and validating the information.  Look for   ways to continue to improve and document the IWP close out process to increase accuracy/reduce errors/reduce redundancy in coll</w:t>
      </w:r>
      <w:r>
        <w:t xml:space="preserve">ection of information and shorten the close out time by having a specific lesson learned/best practices </w:t>
      </w:r>
      <w:r>
        <w:rPr>
          <w:spacing w:val="34"/>
        </w:rPr>
        <w:t xml:space="preserve"> </w:t>
      </w:r>
      <w:r>
        <w:t>plan.</w:t>
      </w:r>
    </w:p>
    <w:p w:rsidR="00D2013C" w:rsidRDefault="00D2013C">
      <w:pPr>
        <w:spacing w:line="280" w:lineRule="auto"/>
        <w:sectPr w:rsidR="00D2013C">
          <w:headerReference w:type="default" r:id="rId7"/>
          <w:footerReference w:type="default" r:id="rId8"/>
          <w:type w:val="continuous"/>
          <w:pgSz w:w="11900" w:h="16840"/>
          <w:pgMar w:top="2140" w:right="0" w:bottom="1560" w:left="1300" w:header="1291" w:footer="1375" w:gutter="0"/>
          <w:pgNumType w:start="1"/>
          <w:cols w:space="720"/>
        </w:sectPr>
      </w:pPr>
    </w:p>
    <w:p w:rsidR="00D2013C" w:rsidRDefault="00D2013C">
      <w:pPr>
        <w:pStyle w:val="BodyText"/>
        <w:rPr>
          <w:sz w:val="20"/>
        </w:rPr>
      </w:pPr>
    </w:p>
    <w:p w:rsidR="00D2013C" w:rsidRDefault="00D2013C">
      <w:pPr>
        <w:pStyle w:val="BodyText"/>
        <w:rPr>
          <w:sz w:val="20"/>
        </w:rPr>
      </w:pPr>
    </w:p>
    <w:p w:rsidR="00D2013C" w:rsidRDefault="00D2013C">
      <w:pPr>
        <w:pStyle w:val="BodyText"/>
        <w:spacing w:before="12"/>
        <w:rPr>
          <w:sz w:val="20"/>
        </w:rPr>
      </w:pPr>
    </w:p>
    <w:p w:rsidR="00D2013C" w:rsidRDefault="00A62DA7">
      <w:pPr>
        <w:pStyle w:val="Heading1"/>
        <w:spacing w:before="38"/>
      </w:pPr>
      <w:r>
        <w:rPr>
          <w:color w:val="DD7C1E"/>
        </w:rPr>
        <w:t>Information Requirements</w:t>
      </w:r>
    </w:p>
    <w:p w:rsidR="00D2013C" w:rsidRDefault="00D2013C">
      <w:pPr>
        <w:pStyle w:val="BodyText"/>
        <w:spacing w:before="8"/>
        <w:rPr>
          <w:b/>
          <w:sz w:val="33"/>
        </w:rPr>
      </w:pPr>
    </w:p>
    <w:p w:rsidR="00D2013C" w:rsidRDefault="00A62DA7">
      <w:pPr>
        <w:pStyle w:val="ListParagraph"/>
        <w:numPr>
          <w:ilvl w:val="0"/>
          <w:numId w:val="1"/>
        </w:numPr>
        <w:tabs>
          <w:tab w:val="left" w:pos="1633"/>
        </w:tabs>
        <w:ind w:hanging="350"/>
        <w:rPr>
          <w:sz w:val="21"/>
        </w:rPr>
      </w:pPr>
      <w:r>
        <w:rPr>
          <w:sz w:val="21"/>
        </w:rPr>
        <w:t>Actual IWP schedule</w:t>
      </w:r>
      <w:r>
        <w:rPr>
          <w:spacing w:val="45"/>
          <w:sz w:val="21"/>
        </w:rPr>
        <w:t xml:space="preserve"> </w:t>
      </w:r>
      <w:r>
        <w:rPr>
          <w:sz w:val="21"/>
        </w:rPr>
        <w:t>performance</w:t>
      </w:r>
    </w:p>
    <w:p w:rsidR="00D2013C" w:rsidRDefault="00A62DA7">
      <w:pPr>
        <w:pStyle w:val="ListParagraph"/>
        <w:numPr>
          <w:ilvl w:val="0"/>
          <w:numId w:val="1"/>
        </w:numPr>
        <w:tabs>
          <w:tab w:val="left" w:pos="1633"/>
        </w:tabs>
        <w:spacing w:before="47"/>
        <w:ind w:hanging="350"/>
        <w:rPr>
          <w:sz w:val="21"/>
        </w:rPr>
      </w:pPr>
      <w:r>
        <w:rPr>
          <w:sz w:val="21"/>
        </w:rPr>
        <w:t xml:space="preserve">Actual IWP craft productivity </w:t>
      </w:r>
      <w:r>
        <w:rPr>
          <w:spacing w:val="8"/>
          <w:sz w:val="21"/>
        </w:rPr>
        <w:t xml:space="preserve"> </w:t>
      </w:r>
      <w:r>
        <w:rPr>
          <w:sz w:val="21"/>
        </w:rPr>
        <w:t>information</w:t>
      </w:r>
    </w:p>
    <w:p w:rsidR="00D2013C" w:rsidRDefault="00A62DA7">
      <w:pPr>
        <w:pStyle w:val="ListParagraph"/>
        <w:numPr>
          <w:ilvl w:val="0"/>
          <w:numId w:val="1"/>
        </w:numPr>
        <w:tabs>
          <w:tab w:val="left" w:pos="1633"/>
        </w:tabs>
        <w:spacing w:before="42"/>
        <w:ind w:hanging="350"/>
        <w:rPr>
          <w:sz w:val="21"/>
        </w:rPr>
      </w:pPr>
      <w:r>
        <w:rPr>
          <w:sz w:val="21"/>
        </w:rPr>
        <w:t xml:space="preserve">Red line </w:t>
      </w:r>
      <w:r>
        <w:rPr>
          <w:sz w:val="21"/>
        </w:rPr>
        <w:t>information for</w:t>
      </w:r>
      <w:r>
        <w:rPr>
          <w:spacing w:val="36"/>
          <w:sz w:val="21"/>
        </w:rPr>
        <w:t xml:space="preserve"> </w:t>
      </w:r>
      <w:r>
        <w:rPr>
          <w:sz w:val="21"/>
        </w:rPr>
        <w:t>IWP</w:t>
      </w:r>
    </w:p>
    <w:p w:rsidR="00D2013C" w:rsidRDefault="00A62DA7">
      <w:pPr>
        <w:pStyle w:val="ListParagraph"/>
        <w:numPr>
          <w:ilvl w:val="0"/>
          <w:numId w:val="1"/>
        </w:numPr>
        <w:tabs>
          <w:tab w:val="left" w:pos="1633"/>
        </w:tabs>
        <w:spacing w:before="47"/>
        <w:ind w:hanging="350"/>
        <w:rPr>
          <w:sz w:val="21"/>
        </w:rPr>
      </w:pPr>
      <w:r>
        <w:rPr>
          <w:sz w:val="21"/>
        </w:rPr>
        <w:t>QA/QC sign-off if applicable for</w:t>
      </w:r>
      <w:r>
        <w:rPr>
          <w:spacing w:val="45"/>
          <w:sz w:val="21"/>
        </w:rPr>
        <w:t xml:space="preserve"> </w:t>
      </w:r>
      <w:r>
        <w:rPr>
          <w:sz w:val="21"/>
        </w:rPr>
        <w:t>IWP</w:t>
      </w:r>
    </w:p>
    <w:p w:rsidR="00D2013C" w:rsidRDefault="00A62DA7">
      <w:pPr>
        <w:pStyle w:val="ListParagraph"/>
        <w:numPr>
          <w:ilvl w:val="0"/>
          <w:numId w:val="1"/>
        </w:numPr>
        <w:tabs>
          <w:tab w:val="left" w:pos="1633"/>
        </w:tabs>
        <w:spacing w:before="42"/>
        <w:ind w:hanging="350"/>
        <w:rPr>
          <w:sz w:val="21"/>
        </w:rPr>
      </w:pPr>
      <w:r>
        <w:rPr>
          <w:sz w:val="21"/>
        </w:rPr>
        <w:t>Lessons learned on</w:t>
      </w:r>
      <w:r>
        <w:rPr>
          <w:spacing w:val="28"/>
          <w:sz w:val="21"/>
        </w:rPr>
        <w:t xml:space="preserve"> </w:t>
      </w:r>
      <w:r>
        <w:rPr>
          <w:sz w:val="21"/>
        </w:rPr>
        <w:t>IWP</w:t>
      </w:r>
    </w:p>
    <w:sectPr w:rsidR="00D2013C">
      <w:pgSz w:w="11900" w:h="16840"/>
      <w:pgMar w:top="2140" w:right="0" w:bottom="1560" w:left="1300" w:header="1291" w:footer="13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62DA7">
      <w:r>
        <w:separator/>
      </w:r>
    </w:p>
  </w:endnote>
  <w:endnote w:type="continuationSeparator" w:id="0">
    <w:p w:rsidR="00000000" w:rsidRDefault="00A6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13C" w:rsidRDefault="00A62DA7">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69.1pt;margin-top:762.25pt;width:192.2pt;height:10.8pt;z-index:-3016;mso-position-horizontal-relative:page;mso-position-vertical-relative:page" filled="f" stroked="f">
          <v:textbox inset="0,0,0,0">
            <w:txbxContent>
              <w:p w:rsidR="00D2013C" w:rsidRDefault="00A62DA7">
                <w:pPr>
                  <w:spacing w:line="197" w:lineRule="exact"/>
                  <w:ind w:left="20"/>
                  <w:rPr>
                    <w:sz w:val="17"/>
                  </w:rPr>
                </w:pPr>
                <w:r>
                  <w:rPr>
                    <w:w w:val="105"/>
                    <w:sz w:val="17"/>
                  </w:rPr>
                  <w:t>WFP-WFD-2013-153-A</w:t>
                </w:r>
                <w:r>
                  <w:rPr>
                    <w:spacing w:val="-22"/>
                    <w:w w:val="105"/>
                    <w:sz w:val="17"/>
                  </w:rPr>
                  <w:t xml:space="preserve"> </w:t>
                </w:r>
                <w:r>
                  <w:rPr>
                    <w:w w:val="105"/>
                    <w:sz w:val="17"/>
                  </w:rPr>
                  <w:t>IWP</w:t>
                </w:r>
                <w:r>
                  <w:rPr>
                    <w:spacing w:val="-22"/>
                    <w:w w:val="105"/>
                    <w:sz w:val="17"/>
                  </w:rPr>
                  <w:t xml:space="preserve"> </w:t>
                </w:r>
                <w:r>
                  <w:rPr>
                    <w:w w:val="105"/>
                    <w:sz w:val="17"/>
                  </w:rPr>
                  <w:t>Lifecycle</w:t>
                </w:r>
                <w:r>
                  <w:rPr>
                    <w:spacing w:val="-21"/>
                    <w:w w:val="105"/>
                    <w:sz w:val="17"/>
                  </w:rPr>
                  <w:t xml:space="preserve"> </w:t>
                </w:r>
                <w:r>
                  <w:rPr>
                    <w:w w:val="105"/>
                    <w:sz w:val="17"/>
                  </w:rPr>
                  <w:t>Narrative</w:t>
                </w:r>
                <w:r>
                  <w:rPr>
                    <w:spacing w:val="-21"/>
                    <w:w w:val="105"/>
                    <w:sz w:val="17"/>
                  </w:rPr>
                  <w:t xml:space="preserve"> </w:t>
                </w:r>
                <w:r>
                  <w:rPr>
                    <w:w w:val="105"/>
                    <w:sz w:val="17"/>
                  </w:rPr>
                  <w:t>5.docx</w:t>
                </w:r>
              </w:p>
            </w:txbxContent>
          </v:textbox>
          <w10:wrap anchorx="page" anchory="page"/>
        </v:shape>
      </w:pict>
    </w:r>
    <w:r>
      <w:pict>
        <v:shape id="_x0000_s1025" type="#_x0000_t202" style="position:absolute;margin-left:485.25pt;margin-top:762.25pt;width:41.4pt;height:10.8pt;z-index:-2992;mso-position-horizontal-relative:page;mso-position-vertical-relative:page" filled="f" stroked="f">
          <v:textbox inset="0,0,0,0">
            <w:txbxContent>
              <w:p w:rsidR="00D2013C" w:rsidRDefault="00A62DA7">
                <w:pPr>
                  <w:spacing w:line="197" w:lineRule="exact"/>
                  <w:ind w:left="20" w:right="-14"/>
                  <w:rPr>
                    <w:b/>
                    <w:sz w:val="17"/>
                  </w:rPr>
                </w:pPr>
                <w:r>
                  <w:rPr>
                    <w:w w:val="105"/>
                    <w:sz w:val="17"/>
                  </w:rPr>
                  <w:t xml:space="preserve">Page </w:t>
                </w:r>
                <w:r>
                  <w:fldChar w:fldCharType="begin"/>
                </w:r>
                <w:r>
                  <w:rPr>
                    <w:b/>
                    <w:w w:val="105"/>
                    <w:sz w:val="17"/>
                  </w:rPr>
                  <w:instrText xml:space="preserve"> PAGE </w:instrText>
                </w:r>
                <w:r>
                  <w:fldChar w:fldCharType="separate"/>
                </w:r>
                <w:r>
                  <w:rPr>
                    <w:b/>
                    <w:noProof/>
                    <w:w w:val="105"/>
                    <w:sz w:val="17"/>
                  </w:rPr>
                  <w:t>1</w:t>
                </w:r>
                <w:r>
                  <w:fldChar w:fldCharType="end"/>
                </w:r>
                <w:r>
                  <w:rPr>
                    <w:b/>
                    <w:w w:val="105"/>
                    <w:sz w:val="17"/>
                  </w:rPr>
                  <w:t xml:space="preserve"> </w:t>
                </w:r>
                <w:r>
                  <w:rPr>
                    <w:w w:val="105"/>
                    <w:sz w:val="17"/>
                  </w:rPr>
                  <w:t xml:space="preserve">of </w:t>
                </w:r>
                <w:r>
                  <w:rPr>
                    <w:b/>
                    <w:w w:val="105"/>
                    <w:sz w:val="17"/>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62DA7">
      <w:r>
        <w:separator/>
      </w:r>
    </w:p>
  </w:footnote>
  <w:footnote w:type="continuationSeparator" w:id="0">
    <w:p w:rsidR="00000000" w:rsidRDefault="00A62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13C" w:rsidRDefault="00A62DA7">
    <w:pPr>
      <w:pStyle w:val="BodyText"/>
      <w:spacing w:line="14" w:lineRule="auto"/>
      <w:rPr>
        <w:sz w:val="20"/>
      </w:rPr>
    </w:pPr>
    <w:r>
      <w:pict>
        <v:group id="_x0000_s1028" style="position:absolute;margin-left:78.5pt;margin-top:64.55pt;width:517.2pt;height:42.75pt;z-index:-3064;mso-position-horizontal-relative:page;mso-position-vertical-relative:page" coordorigin="1570,1291" coordsize="10344,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570;top:1291;width:1894;height:826">
            <v:imagedata r:id="rId1" o:title=""/>
          </v:shape>
          <v:line id="_x0000_s1029" style="position:absolute" from="2448,2134" to="11902,2134" strokecolor="#361c0c" strokeweight="1.2pt"/>
          <w10:wrap anchorx="page" anchory="page"/>
        </v:group>
      </w:pict>
    </w:r>
    <w:r>
      <w:pict>
        <v:shapetype id="_x0000_t202" coordsize="21600,21600" o:spt="202" path="m,l,21600r21600,l21600,xe">
          <v:stroke joinstyle="miter"/>
          <v:path gradientshapeok="t" o:connecttype="rect"/>
        </v:shapetype>
        <v:shape id="_x0000_s1027" type="#_x0000_t202" style="position:absolute;margin-left:294.45pt;margin-top:70.3pt;width:232.25pt;height:34.4pt;z-index:-3040;mso-position-horizontal-relative:page;mso-position-vertical-relative:page" filled="f" stroked="f">
          <v:textbox inset="0,0,0,0">
            <w:txbxContent>
              <w:p w:rsidR="00A62DA7" w:rsidRDefault="00A62DA7" w:rsidP="00A62DA7">
                <w:pPr>
                  <w:spacing w:line="242" w:lineRule="auto"/>
                  <w:ind w:left="468" w:right="22" w:hanging="449"/>
                  <w:jc w:val="right"/>
                  <w:rPr>
                    <w:rFonts w:ascii="Lucida Sans"/>
                    <w:sz w:val="19"/>
                  </w:rPr>
                </w:pPr>
                <w:r>
                  <w:rPr>
                    <w:rFonts w:ascii="Lucida Sans"/>
                    <w:spacing w:val="-3"/>
                    <w:w w:val="110"/>
                    <w:sz w:val="19"/>
                  </w:rPr>
                  <w:t>Document Number:</w:t>
                </w:r>
                <w:r>
                  <w:rPr>
                    <w:rFonts w:ascii="Lucida Sans"/>
                    <w:spacing w:val="-30"/>
                    <w:w w:val="110"/>
                    <w:sz w:val="19"/>
                  </w:rPr>
                  <w:t xml:space="preserve"> </w:t>
                </w:r>
                <w:r>
                  <w:rPr>
                    <w:rFonts w:ascii="Lucida Sans"/>
                    <w:spacing w:val="-2"/>
                    <w:w w:val="110"/>
                    <w:sz w:val="19"/>
                  </w:rPr>
                  <w:t>COP-WFP-WFD-13</w:t>
                </w:r>
                <w:r>
                  <w:rPr>
                    <w:rFonts w:ascii="Lucida Sans"/>
                    <w:spacing w:val="-2"/>
                    <w:w w:val="110"/>
                    <w:sz w:val="19"/>
                  </w:rPr>
                  <w:t>-2013-v1</w:t>
                </w:r>
              </w:p>
              <w:p w:rsidR="00D2013C" w:rsidRDefault="00D2013C">
                <w:pPr>
                  <w:spacing w:line="221" w:lineRule="exact"/>
                  <w:ind w:right="18"/>
                  <w:jc w:val="right"/>
                  <w:rPr>
                    <w:rFonts w:ascii="Lucida Sans"/>
                    <w:sz w:val="19"/>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2DD2"/>
    <w:multiLevelType w:val="hybridMultilevel"/>
    <w:tmpl w:val="049297FA"/>
    <w:lvl w:ilvl="0" w:tplc="CF72D07C">
      <w:start w:val="1"/>
      <w:numFmt w:val="bullet"/>
      <w:lvlText w:val=""/>
      <w:lvlJc w:val="left"/>
      <w:pPr>
        <w:ind w:left="1632" w:hanging="351"/>
      </w:pPr>
      <w:rPr>
        <w:rFonts w:ascii="Symbol" w:eastAsia="Symbol" w:hAnsi="Symbol" w:cs="Symbol" w:hint="default"/>
        <w:w w:val="102"/>
        <w:sz w:val="21"/>
        <w:szCs w:val="21"/>
      </w:rPr>
    </w:lvl>
    <w:lvl w:ilvl="1" w:tplc="C45EE80A">
      <w:start w:val="1"/>
      <w:numFmt w:val="bullet"/>
      <w:lvlText w:val="•"/>
      <w:lvlJc w:val="left"/>
      <w:pPr>
        <w:ind w:left="2536" w:hanging="351"/>
      </w:pPr>
      <w:rPr>
        <w:rFonts w:hint="default"/>
      </w:rPr>
    </w:lvl>
    <w:lvl w:ilvl="2" w:tplc="6CD24B84">
      <w:start w:val="1"/>
      <w:numFmt w:val="bullet"/>
      <w:lvlText w:val="•"/>
      <w:lvlJc w:val="left"/>
      <w:pPr>
        <w:ind w:left="3432" w:hanging="351"/>
      </w:pPr>
      <w:rPr>
        <w:rFonts w:hint="default"/>
      </w:rPr>
    </w:lvl>
    <w:lvl w:ilvl="3" w:tplc="9372E034">
      <w:start w:val="1"/>
      <w:numFmt w:val="bullet"/>
      <w:lvlText w:val="•"/>
      <w:lvlJc w:val="left"/>
      <w:pPr>
        <w:ind w:left="4328" w:hanging="351"/>
      </w:pPr>
      <w:rPr>
        <w:rFonts w:hint="default"/>
      </w:rPr>
    </w:lvl>
    <w:lvl w:ilvl="4" w:tplc="DFDC9B86">
      <w:start w:val="1"/>
      <w:numFmt w:val="bullet"/>
      <w:lvlText w:val="•"/>
      <w:lvlJc w:val="left"/>
      <w:pPr>
        <w:ind w:left="5224" w:hanging="351"/>
      </w:pPr>
      <w:rPr>
        <w:rFonts w:hint="default"/>
      </w:rPr>
    </w:lvl>
    <w:lvl w:ilvl="5" w:tplc="CBF40968">
      <w:start w:val="1"/>
      <w:numFmt w:val="bullet"/>
      <w:lvlText w:val="•"/>
      <w:lvlJc w:val="left"/>
      <w:pPr>
        <w:ind w:left="6120" w:hanging="351"/>
      </w:pPr>
      <w:rPr>
        <w:rFonts w:hint="default"/>
      </w:rPr>
    </w:lvl>
    <w:lvl w:ilvl="6" w:tplc="4EF227AC">
      <w:start w:val="1"/>
      <w:numFmt w:val="bullet"/>
      <w:lvlText w:val="•"/>
      <w:lvlJc w:val="left"/>
      <w:pPr>
        <w:ind w:left="7016" w:hanging="351"/>
      </w:pPr>
      <w:rPr>
        <w:rFonts w:hint="default"/>
      </w:rPr>
    </w:lvl>
    <w:lvl w:ilvl="7" w:tplc="54664178">
      <w:start w:val="1"/>
      <w:numFmt w:val="bullet"/>
      <w:lvlText w:val="•"/>
      <w:lvlJc w:val="left"/>
      <w:pPr>
        <w:ind w:left="7912" w:hanging="351"/>
      </w:pPr>
      <w:rPr>
        <w:rFonts w:hint="default"/>
      </w:rPr>
    </w:lvl>
    <w:lvl w:ilvl="8" w:tplc="13E452DE">
      <w:start w:val="1"/>
      <w:numFmt w:val="bullet"/>
      <w:lvlText w:val="•"/>
      <w:lvlJc w:val="left"/>
      <w:pPr>
        <w:ind w:left="8808" w:hanging="3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D2013C"/>
    <w:rsid w:val="00A62DA7"/>
    <w:rsid w:val="00D201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15CC6"/>
  <w15:docId w15:val="{F7C8CE66-52EA-45AE-AB86-6838DB54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931" w:right="1606"/>
      <w:outlineLvl w:val="0"/>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632" w:hanging="35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2DA7"/>
    <w:pPr>
      <w:tabs>
        <w:tab w:val="center" w:pos="4680"/>
        <w:tab w:val="right" w:pos="9360"/>
      </w:tabs>
    </w:pPr>
  </w:style>
  <w:style w:type="character" w:customStyle="1" w:styleId="HeaderChar">
    <w:name w:val="Header Char"/>
    <w:basedOn w:val="DefaultParagraphFont"/>
    <w:link w:val="Header"/>
    <w:uiPriority w:val="99"/>
    <w:rsid w:val="00A62DA7"/>
    <w:rPr>
      <w:rFonts w:ascii="Calibri" w:eastAsia="Calibri" w:hAnsi="Calibri" w:cs="Calibri"/>
    </w:rPr>
  </w:style>
  <w:style w:type="paragraph" w:styleId="Footer">
    <w:name w:val="footer"/>
    <w:basedOn w:val="Normal"/>
    <w:link w:val="FooterChar"/>
    <w:uiPriority w:val="99"/>
    <w:unhideWhenUsed/>
    <w:rsid w:val="00A62DA7"/>
    <w:pPr>
      <w:tabs>
        <w:tab w:val="center" w:pos="4680"/>
        <w:tab w:val="right" w:pos="9360"/>
      </w:tabs>
    </w:pPr>
  </w:style>
  <w:style w:type="character" w:customStyle="1" w:styleId="FooterChar">
    <w:name w:val="Footer Char"/>
    <w:basedOn w:val="DefaultParagraphFont"/>
    <w:link w:val="Footer"/>
    <w:uiPriority w:val="99"/>
    <w:rsid w:val="00A62DA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20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WFP-WFD-2013-153-A IWP Lifecycle Narrative 5</dc:title>
  <dc:creator>ASI Group</dc:creator>
  <cp:keywords>()</cp:keywords>
  <cp:lastModifiedBy>Jennifer Cummings-COAA</cp:lastModifiedBy>
  <cp:revision>2</cp:revision>
  <dcterms:created xsi:type="dcterms:W3CDTF">2016-08-03T15:11:00Z</dcterms:created>
  <dcterms:modified xsi:type="dcterms:W3CDTF">2016-09-20T19:21:00Z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2013-02-24T00:00:00Z</vt:filetime>
  </property>
  <property fmtid="{D5CDD505-2E9C-101B-9397-08002B2CF9AE}" pid="3" name="Creator">
    <vt:lpwstr>PDFCreator Version 1.6.2</vt:lpwstr>
  </property>
  <property fmtid="{D5CDD505-2E9C-101B-9397-08002B2CF9AE}" pid="4" name="LastSaved">
    <vt:filetime>2016-08-03T00:00:00Z</vt:filetime>
  </property>
</Properties>
</file>