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35" w:rsidRDefault="00795935">
      <w:pPr>
        <w:pStyle w:val="BodyText"/>
        <w:rPr>
          <w:rFonts w:ascii="Times New Roman"/>
        </w:rPr>
      </w:pPr>
      <w:bookmarkStart w:id="0" w:name="_GoBack"/>
      <w:bookmarkEnd w:id="0"/>
    </w:p>
    <w:p w:rsidR="00795935" w:rsidRDefault="00795935">
      <w:pPr>
        <w:pStyle w:val="BodyText"/>
        <w:rPr>
          <w:rFonts w:ascii="Times New Roman"/>
        </w:rPr>
      </w:pPr>
    </w:p>
    <w:p w:rsidR="00795935" w:rsidRDefault="00795935">
      <w:pPr>
        <w:pStyle w:val="BodyText"/>
        <w:spacing w:before="9"/>
        <w:rPr>
          <w:rFonts w:ascii="Times New Roman"/>
          <w:sz w:val="26"/>
        </w:rPr>
      </w:pPr>
    </w:p>
    <w:p w:rsidR="00795935" w:rsidRDefault="001F4533">
      <w:pPr>
        <w:spacing w:before="33"/>
        <w:ind w:left="2382" w:right="1617" w:firstLine="331"/>
        <w:rPr>
          <w:rFonts w:ascii="Cambria"/>
          <w:sz w:val="48"/>
        </w:rPr>
      </w:pPr>
      <w:r>
        <w:rPr>
          <w:rFonts w:ascii="Cambria"/>
          <w:color w:val="DD7C1E"/>
          <w:sz w:val="48"/>
        </w:rPr>
        <w:t>ADVANCED WORK PACKAGING &amp; WORKFACE PLANNING SCORECARD</w:t>
      </w:r>
    </w:p>
    <w:p w:rsidR="00795935" w:rsidRDefault="00795935">
      <w:pPr>
        <w:pStyle w:val="BodyText"/>
        <w:rPr>
          <w:rFonts w:ascii="Cambria"/>
        </w:rPr>
      </w:pPr>
    </w:p>
    <w:p w:rsidR="00795935" w:rsidRDefault="00795935">
      <w:pPr>
        <w:pStyle w:val="BodyText"/>
        <w:spacing w:before="9"/>
        <w:rPr>
          <w:rFonts w:ascii="Cambria"/>
          <w:sz w:val="10"/>
        </w:rPr>
      </w:pPr>
    </w:p>
    <w:tbl>
      <w:tblPr>
        <w:tblW w:w="0" w:type="auto"/>
        <w:tblInd w:w="2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5"/>
        <w:gridCol w:w="4863"/>
        <w:gridCol w:w="631"/>
        <w:gridCol w:w="632"/>
        <w:gridCol w:w="632"/>
        <w:gridCol w:w="631"/>
        <w:gridCol w:w="637"/>
        <w:gridCol w:w="3319"/>
      </w:tblGrid>
      <w:tr w:rsidR="00795935">
        <w:trPr>
          <w:trHeight w:hRule="exact" w:val="706"/>
        </w:trPr>
        <w:tc>
          <w:tcPr>
            <w:tcW w:w="5758" w:type="dxa"/>
            <w:gridSpan w:val="2"/>
            <w:tcBorders>
              <w:bottom w:val="single" w:sz="4" w:space="0" w:color="000000"/>
              <w:right w:val="single" w:sz="4" w:space="0" w:color="000000"/>
            </w:tcBorders>
          </w:tcPr>
          <w:p w:rsidR="00795935" w:rsidRDefault="00795935">
            <w:pPr>
              <w:pStyle w:val="TableParagraph"/>
              <w:spacing w:before="10"/>
              <w:ind w:left="0"/>
              <w:rPr>
                <w:rFonts w:ascii="Cambria"/>
                <w:sz w:val="29"/>
              </w:rPr>
            </w:pPr>
          </w:p>
          <w:p w:rsidR="00795935" w:rsidRDefault="001F4533">
            <w:pPr>
              <w:pStyle w:val="TableParagraph"/>
              <w:tabs>
                <w:tab w:val="left" w:pos="5611"/>
              </w:tabs>
              <w:spacing w:before="1"/>
              <w:ind w:left="115"/>
              <w:rPr>
                <w:b/>
                <w:sz w:val="24"/>
              </w:rPr>
            </w:pPr>
            <w:r>
              <w:rPr>
                <w:b/>
                <w:sz w:val="24"/>
              </w:rPr>
              <w:t xml:space="preserve">Project: </w:t>
            </w:r>
            <w:r>
              <w:rPr>
                <w:b/>
                <w:sz w:val="24"/>
                <w:u w:val="thick"/>
              </w:rPr>
              <w:t xml:space="preserve"> </w:t>
            </w:r>
            <w:r>
              <w:rPr>
                <w:b/>
                <w:sz w:val="24"/>
                <w:u w:val="thick"/>
              </w:rPr>
              <w:tab/>
            </w:r>
          </w:p>
        </w:tc>
        <w:tc>
          <w:tcPr>
            <w:tcW w:w="3163" w:type="dxa"/>
            <w:gridSpan w:val="5"/>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186"/>
              <w:ind w:left="1058" w:right="1058"/>
              <w:jc w:val="center"/>
              <w:rPr>
                <w:b/>
                <w:sz w:val="28"/>
              </w:rPr>
            </w:pPr>
            <w:r>
              <w:rPr>
                <w:b/>
                <w:sz w:val="28"/>
              </w:rPr>
              <w:t>SCORE</w:t>
            </w:r>
          </w:p>
        </w:tc>
        <w:tc>
          <w:tcPr>
            <w:tcW w:w="3319" w:type="dxa"/>
            <w:tcBorders>
              <w:left w:val="single" w:sz="4" w:space="0" w:color="000000"/>
              <w:bottom w:val="single" w:sz="4" w:space="0" w:color="000000"/>
            </w:tcBorders>
          </w:tcPr>
          <w:p w:rsidR="00795935" w:rsidRDefault="00795935">
            <w:pPr>
              <w:pStyle w:val="TableParagraph"/>
              <w:spacing w:before="10"/>
              <w:ind w:left="0"/>
              <w:rPr>
                <w:rFonts w:ascii="Cambria"/>
                <w:sz w:val="29"/>
              </w:rPr>
            </w:pPr>
          </w:p>
          <w:p w:rsidR="00795935" w:rsidRDefault="001F4533">
            <w:pPr>
              <w:pStyle w:val="TableParagraph"/>
              <w:tabs>
                <w:tab w:val="left" w:pos="3111"/>
              </w:tabs>
              <w:spacing w:before="1"/>
              <w:rPr>
                <w:b/>
                <w:sz w:val="24"/>
              </w:rPr>
            </w:pPr>
            <w:r>
              <w:rPr>
                <w:b/>
                <w:sz w:val="24"/>
              </w:rPr>
              <w:t>Date:</w:t>
            </w:r>
            <w:r>
              <w:rPr>
                <w:b/>
                <w:sz w:val="24"/>
                <w:u w:val="thick"/>
              </w:rPr>
              <w:t xml:space="preserve"> </w:t>
            </w:r>
            <w:r>
              <w:rPr>
                <w:b/>
                <w:sz w:val="24"/>
                <w:u w:val="thick"/>
              </w:rPr>
              <w:tab/>
            </w:r>
          </w:p>
        </w:tc>
      </w:tr>
      <w:tr w:rsidR="00795935">
        <w:trPr>
          <w:trHeight w:hRule="exact" w:val="1522"/>
        </w:trPr>
        <w:tc>
          <w:tcPr>
            <w:tcW w:w="895" w:type="dxa"/>
            <w:tcBorders>
              <w:top w:val="single" w:sz="4" w:space="0" w:color="000000"/>
              <w:left w:val="single" w:sz="4" w:space="0" w:color="000000"/>
              <w:bottom w:val="single" w:sz="4" w:space="0" w:color="000000"/>
              <w:right w:val="single" w:sz="4" w:space="0" w:color="000000"/>
            </w:tcBorders>
          </w:tcPr>
          <w:p w:rsidR="00795935" w:rsidRDefault="00795935"/>
        </w:tc>
        <w:tc>
          <w:tcPr>
            <w:tcW w:w="4862" w:type="dxa"/>
            <w:tcBorders>
              <w:top w:val="single" w:sz="4" w:space="0" w:color="000000"/>
              <w:left w:val="single" w:sz="4" w:space="0" w:color="000000"/>
              <w:bottom w:val="single" w:sz="4" w:space="0" w:color="000000"/>
              <w:right w:val="single" w:sz="4" w:space="0" w:color="000000"/>
            </w:tcBorders>
          </w:tcPr>
          <w:p w:rsidR="00795935" w:rsidRDefault="00795935">
            <w:pPr>
              <w:pStyle w:val="TableParagraph"/>
              <w:spacing w:before="0"/>
              <w:ind w:left="0"/>
              <w:rPr>
                <w:rFonts w:ascii="Cambria"/>
                <w:sz w:val="24"/>
              </w:rPr>
            </w:pPr>
          </w:p>
          <w:p w:rsidR="00795935" w:rsidRDefault="00795935">
            <w:pPr>
              <w:pStyle w:val="TableParagraph"/>
              <w:spacing w:before="6"/>
              <w:ind w:left="0"/>
              <w:rPr>
                <w:rFonts w:ascii="Cambria"/>
                <w:sz w:val="28"/>
              </w:rPr>
            </w:pPr>
          </w:p>
          <w:p w:rsidR="00795935" w:rsidRDefault="001F4533">
            <w:pPr>
              <w:pStyle w:val="TableParagraph"/>
              <w:spacing w:before="0"/>
              <w:ind w:left="1746" w:right="1746"/>
              <w:jc w:val="center"/>
              <w:rPr>
                <w:b/>
                <w:sz w:val="24"/>
              </w:rPr>
            </w:pPr>
            <w:r>
              <w:rPr>
                <w:b/>
                <w:sz w:val="24"/>
              </w:rPr>
              <w:t>Description</w:t>
            </w:r>
          </w:p>
        </w:tc>
        <w:tc>
          <w:tcPr>
            <w:tcW w:w="631" w:type="dxa"/>
            <w:tcBorders>
              <w:top w:val="single" w:sz="4" w:space="0" w:color="000000"/>
              <w:left w:val="single" w:sz="4" w:space="0" w:color="000000"/>
              <w:bottom w:val="single" w:sz="4" w:space="0" w:color="000000"/>
              <w:right w:val="single" w:sz="4" w:space="0" w:color="000000"/>
            </w:tcBorders>
            <w:textDirection w:val="btLr"/>
          </w:tcPr>
          <w:p w:rsidR="00795935" w:rsidRDefault="001F4533">
            <w:pPr>
              <w:pStyle w:val="TableParagraph"/>
              <w:spacing w:before="29" w:line="247" w:lineRule="auto"/>
              <w:ind w:left="248" w:right="230" w:firstLine="20"/>
              <w:rPr>
                <w:b/>
                <w:sz w:val="24"/>
              </w:rPr>
            </w:pPr>
            <w:r>
              <w:rPr>
                <w:b/>
                <w:spacing w:val="-1"/>
                <w:sz w:val="24"/>
              </w:rPr>
              <w:t xml:space="preserve">Strongly </w:t>
            </w:r>
            <w:r>
              <w:rPr>
                <w:b/>
                <w:sz w:val="24"/>
              </w:rPr>
              <w:t>Disagree</w:t>
            </w:r>
          </w:p>
        </w:tc>
        <w:tc>
          <w:tcPr>
            <w:tcW w:w="632" w:type="dxa"/>
            <w:tcBorders>
              <w:top w:val="single" w:sz="4" w:space="0" w:color="000000"/>
              <w:left w:val="single" w:sz="4" w:space="0" w:color="000000"/>
              <w:bottom w:val="single" w:sz="4" w:space="0" w:color="000000"/>
              <w:right w:val="single" w:sz="4" w:space="0" w:color="000000"/>
            </w:tcBorders>
            <w:textDirection w:val="btLr"/>
          </w:tcPr>
          <w:p w:rsidR="00795935" w:rsidRDefault="001F4533">
            <w:pPr>
              <w:pStyle w:val="TableParagraph"/>
              <w:spacing w:before="172"/>
              <w:ind w:left="248"/>
              <w:rPr>
                <w:b/>
                <w:sz w:val="24"/>
              </w:rPr>
            </w:pPr>
            <w:r>
              <w:rPr>
                <w:b/>
                <w:sz w:val="24"/>
              </w:rPr>
              <w:t>Disagree</w:t>
            </w:r>
          </w:p>
        </w:tc>
        <w:tc>
          <w:tcPr>
            <w:tcW w:w="632" w:type="dxa"/>
            <w:tcBorders>
              <w:top w:val="single" w:sz="4" w:space="0" w:color="000000"/>
              <w:left w:val="single" w:sz="4" w:space="0" w:color="000000"/>
              <w:bottom w:val="single" w:sz="4" w:space="0" w:color="000000"/>
              <w:right w:val="single" w:sz="4" w:space="0" w:color="000000"/>
            </w:tcBorders>
            <w:textDirection w:val="btLr"/>
          </w:tcPr>
          <w:p w:rsidR="00795935" w:rsidRDefault="001F4533">
            <w:pPr>
              <w:pStyle w:val="TableParagraph"/>
              <w:spacing w:before="172"/>
              <w:ind w:left="341" w:right="230"/>
              <w:rPr>
                <w:b/>
                <w:sz w:val="24"/>
              </w:rPr>
            </w:pPr>
            <w:r>
              <w:rPr>
                <w:b/>
                <w:spacing w:val="-1"/>
                <w:sz w:val="24"/>
              </w:rPr>
              <w:t>Neutral</w:t>
            </w:r>
          </w:p>
        </w:tc>
        <w:tc>
          <w:tcPr>
            <w:tcW w:w="631" w:type="dxa"/>
            <w:tcBorders>
              <w:top w:val="single" w:sz="4" w:space="0" w:color="000000"/>
              <w:left w:val="single" w:sz="4" w:space="0" w:color="000000"/>
              <w:bottom w:val="single" w:sz="4" w:space="0" w:color="000000"/>
              <w:right w:val="single" w:sz="4" w:space="0" w:color="000000"/>
            </w:tcBorders>
            <w:textDirection w:val="btLr"/>
          </w:tcPr>
          <w:p w:rsidR="00795935" w:rsidRDefault="001F4533">
            <w:pPr>
              <w:pStyle w:val="TableParagraph"/>
              <w:spacing w:before="172"/>
              <w:ind w:left="415" w:right="230"/>
              <w:rPr>
                <w:b/>
                <w:sz w:val="24"/>
              </w:rPr>
            </w:pPr>
            <w:r>
              <w:rPr>
                <w:b/>
                <w:spacing w:val="-1"/>
                <w:sz w:val="24"/>
              </w:rPr>
              <w:t>Agree</w:t>
            </w:r>
          </w:p>
        </w:tc>
        <w:tc>
          <w:tcPr>
            <w:tcW w:w="636" w:type="dxa"/>
            <w:tcBorders>
              <w:top w:val="single" w:sz="4" w:space="0" w:color="000000"/>
              <w:left w:val="single" w:sz="4" w:space="0" w:color="000000"/>
              <w:bottom w:val="single" w:sz="4" w:space="0" w:color="000000"/>
              <w:right w:val="single" w:sz="4" w:space="0" w:color="000000"/>
            </w:tcBorders>
            <w:textDirection w:val="btLr"/>
          </w:tcPr>
          <w:p w:rsidR="00795935" w:rsidRDefault="001F4533">
            <w:pPr>
              <w:pStyle w:val="TableParagraph"/>
              <w:spacing w:before="33" w:line="247" w:lineRule="auto"/>
              <w:ind w:left="415" w:right="258" w:hanging="147"/>
              <w:rPr>
                <w:b/>
                <w:sz w:val="24"/>
              </w:rPr>
            </w:pPr>
            <w:r>
              <w:rPr>
                <w:b/>
                <w:spacing w:val="-1"/>
                <w:sz w:val="24"/>
              </w:rPr>
              <w:t>Strongly Agree</w:t>
            </w:r>
          </w:p>
        </w:tc>
        <w:tc>
          <w:tcPr>
            <w:tcW w:w="3319" w:type="dxa"/>
            <w:tcBorders>
              <w:top w:val="single" w:sz="4" w:space="0" w:color="000000"/>
              <w:left w:val="single" w:sz="4" w:space="0" w:color="000000"/>
              <w:bottom w:val="single" w:sz="4" w:space="0" w:color="000000"/>
              <w:right w:val="single" w:sz="4" w:space="0" w:color="000000"/>
            </w:tcBorders>
          </w:tcPr>
          <w:p w:rsidR="00795935" w:rsidRDefault="00795935">
            <w:pPr>
              <w:pStyle w:val="TableParagraph"/>
              <w:spacing w:before="0"/>
              <w:ind w:left="0"/>
              <w:rPr>
                <w:rFonts w:ascii="Cambria"/>
                <w:sz w:val="24"/>
              </w:rPr>
            </w:pPr>
          </w:p>
          <w:p w:rsidR="00795935" w:rsidRDefault="00795935">
            <w:pPr>
              <w:pStyle w:val="TableParagraph"/>
              <w:spacing w:before="6"/>
              <w:ind w:left="0"/>
              <w:rPr>
                <w:rFonts w:ascii="Cambria"/>
                <w:sz w:val="28"/>
              </w:rPr>
            </w:pPr>
          </w:p>
          <w:p w:rsidR="00795935" w:rsidRDefault="001F4533">
            <w:pPr>
              <w:pStyle w:val="TableParagraph"/>
              <w:spacing w:before="0"/>
              <w:ind w:left="167"/>
              <w:rPr>
                <w:b/>
                <w:sz w:val="24"/>
              </w:rPr>
            </w:pPr>
            <w:r>
              <w:rPr>
                <w:b/>
                <w:sz w:val="24"/>
              </w:rPr>
              <w:t>Comments / Observations</w:t>
            </w:r>
          </w:p>
        </w:tc>
      </w:tr>
      <w:tr w:rsidR="00795935">
        <w:trPr>
          <w:trHeight w:hRule="exact" w:val="446"/>
        </w:trPr>
        <w:tc>
          <w:tcPr>
            <w:tcW w:w="895" w:type="dxa"/>
            <w:tcBorders>
              <w:top w:val="single" w:sz="4" w:space="0" w:color="000000"/>
              <w:left w:val="single" w:sz="4" w:space="0" w:color="000000"/>
              <w:bottom w:val="single" w:sz="4" w:space="0" w:color="000000"/>
              <w:right w:val="single" w:sz="4" w:space="0" w:color="000000"/>
            </w:tcBorders>
          </w:tcPr>
          <w:p w:rsidR="00795935" w:rsidRDefault="00795935"/>
        </w:tc>
        <w:tc>
          <w:tcPr>
            <w:tcW w:w="4862" w:type="dxa"/>
            <w:tcBorders>
              <w:top w:val="single" w:sz="4" w:space="0" w:color="000000"/>
              <w:left w:val="single" w:sz="4" w:space="0" w:color="000000"/>
              <w:bottom w:val="single" w:sz="4" w:space="0" w:color="000000"/>
              <w:right w:val="single" w:sz="4" w:space="0" w:color="000000"/>
            </w:tcBorders>
          </w:tcPr>
          <w:p w:rsidR="00795935" w:rsidRDefault="00795935"/>
        </w:tc>
        <w:tc>
          <w:tcPr>
            <w:tcW w:w="631"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8"/>
              <w:ind w:left="0"/>
              <w:jc w:val="center"/>
              <w:rPr>
                <w:b/>
                <w:sz w:val="24"/>
              </w:rPr>
            </w:pPr>
            <w:r>
              <w:rPr>
                <w:b/>
                <w:sz w:val="24"/>
              </w:rPr>
              <w:t>1</w:t>
            </w:r>
          </w:p>
        </w:tc>
        <w:tc>
          <w:tcPr>
            <w:tcW w:w="632"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8"/>
              <w:ind w:left="0"/>
              <w:jc w:val="center"/>
              <w:rPr>
                <w:b/>
                <w:sz w:val="24"/>
              </w:rPr>
            </w:pPr>
            <w:r>
              <w:rPr>
                <w:b/>
                <w:sz w:val="24"/>
              </w:rPr>
              <w:t>2</w:t>
            </w:r>
          </w:p>
        </w:tc>
        <w:tc>
          <w:tcPr>
            <w:tcW w:w="632"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8"/>
              <w:ind w:left="0"/>
              <w:jc w:val="center"/>
              <w:rPr>
                <w:b/>
                <w:sz w:val="24"/>
              </w:rPr>
            </w:pPr>
            <w:r>
              <w:rPr>
                <w:b/>
                <w:sz w:val="24"/>
              </w:rPr>
              <w:t>3</w:t>
            </w:r>
          </w:p>
        </w:tc>
        <w:tc>
          <w:tcPr>
            <w:tcW w:w="631"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8"/>
              <w:ind w:left="1"/>
              <w:jc w:val="center"/>
              <w:rPr>
                <w:b/>
                <w:sz w:val="24"/>
              </w:rPr>
            </w:pPr>
            <w:r>
              <w:rPr>
                <w:b/>
                <w:sz w:val="24"/>
              </w:rPr>
              <w:t>4</w:t>
            </w:r>
          </w:p>
        </w:tc>
        <w:tc>
          <w:tcPr>
            <w:tcW w:w="636"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8"/>
              <w:ind w:left="0"/>
              <w:jc w:val="center"/>
              <w:rPr>
                <w:b/>
                <w:sz w:val="24"/>
              </w:rPr>
            </w:pPr>
            <w:r>
              <w:rPr>
                <w:b/>
                <w:sz w:val="24"/>
              </w:rPr>
              <w:t>5</w:t>
            </w:r>
          </w:p>
        </w:tc>
        <w:tc>
          <w:tcPr>
            <w:tcW w:w="3319" w:type="dxa"/>
            <w:tcBorders>
              <w:top w:val="single" w:sz="4" w:space="0" w:color="000000"/>
              <w:left w:val="single" w:sz="4" w:space="0" w:color="000000"/>
              <w:bottom w:val="single" w:sz="4" w:space="0" w:color="000000"/>
              <w:right w:val="single" w:sz="4" w:space="0" w:color="000000"/>
            </w:tcBorders>
          </w:tcPr>
          <w:p w:rsidR="00795935" w:rsidRDefault="00795935"/>
        </w:tc>
      </w:tr>
      <w:tr w:rsidR="00795935">
        <w:trPr>
          <w:trHeight w:hRule="exact" w:val="551"/>
        </w:trPr>
        <w:tc>
          <w:tcPr>
            <w:tcW w:w="895"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0"/>
              <w:ind w:left="275"/>
              <w:rPr>
                <w:b/>
                <w:sz w:val="24"/>
              </w:rPr>
            </w:pPr>
            <w:r>
              <w:rPr>
                <w:b/>
                <w:sz w:val="24"/>
              </w:rPr>
              <w:t>1.0</w:t>
            </w:r>
          </w:p>
        </w:tc>
        <w:tc>
          <w:tcPr>
            <w:tcW w:w="4862"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0"/>
              <w:ind w:right="110"/>
              <w:rPr>
                <w:b/>
                <w:sz w:val="24"/>
              </w:rPr>
            </w:pPr>
            <w:r>
              <w:rPr>
                <w:b/>
                <w:sz w:val="24"/>
              </w:rPr>
              <w:t>Project Definition &amp; Planning</w:t>
            </w:r>
          </w:p>
        </w:tc>
        <w:tc>
          <w:tcPr>
            <w:tcW w:w="6482" w:type="dxa"/>
            <w:gridSpan w:val="6"/>
            <w:tcBorders>
              <w:top w:val="single" w:sz="4" w:space="0" w:color="000000"/>
              <w:left w:val="single" w:sz="4" w:space="0" w:color="000000"/>
              <w:bottom w:val="single" w:sz="4" w:space="0" w:color="000000"/>
              <w:right w:val="single" w:sz="4" w:space="0" w:color="000000"/>
            </w:tcBorders>
          </w:tcPr>
          <w:p w:rsidR="00795935" w:rsidRDefault="00795935"/>
        </w:tc>
      </w:tr>
      <w:tr w:rsidR="00795935">
        <w:trPr>
          <w:trHeight w:hRule="exact" w:val="845"/>
        </w:trPr>
        <w:tc>
          <w:tcPr>
            <w:tcW w:w="895"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0"/>
              <w:ind w:left="303"/>
              <w:rPr>
                <w:sz w:val="20"/>
              </w:rPr>
            </w:pPr>
            <w:r>
              <w:rPr>
                <w:sz w:val="20"/>
              </w:rPr>
              <w:t>1.1</w:t>
            </w:r>
          </w:p>
        </w:tc>
        <w:tc>
          <w:tcPr>
            <w:tcW w:w="4862"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spacing w:before="70"/>
              <w:ind w:right="106"/>
              <w:jc w:val="both"/>
              <w:rPr>
                <w:sz w:val="20"/>
              </w:rPr>
            </w:pPr>
            <w:r>
              <w:rPr>
                <w:sz w:val="20"/>
              </w:rPr>
              <w:t>Early Scope definition documents include construction sequencing, phases, and limits to support packaging of design and construction.</w:t>
            </w:r>
          </w:p>
        </w:tc>
        <w:tc>
          <w:tcPr>
            <w:tcW w:w="631" w:type="dxa"/>
            <w:tcBorders>
              <w:top w:val="single" w:sz="4" w:space="0" w:color="000000"/>
              <w:left w:val="single" w:sz="4" w:space="0" w:color="000000"/>
              <w:bottom w:val="single" w:sz="4" w:space="0" w:color="000000"/>
              <w:right w:val="single" w:sz="4" w:space="0" w:color="000000"/>
            </w:tcBorders>
          </w:tcPr>
          <w:p w:rsidR="00795935" w:rsidRDefault="00795935"/>
        </w:tc>
        <w:tc>
          <w:tcPr>
            <w:tcW w:w="632" w:type="dxa"/>
            <w:tcBorders>
              <w:top w:val="single" w:sz="4" w:space="0" w:color="000000"/>
              <w:left w:val="single" w:sz="4" w:space="0" w:color="000000"/>
              <w:bottom w:val="single" w:sz="4" w:space="0" w:color="000000"/>
              <w:right w:val="single" w:sz="4" w:space="0" w:color="000000"/>
            </w:tcBorders>
          </w:tcPr>
          <w:p w:rsidR="00795935" w:rsidRDefault="00795935"/>
        </w:tc>
        <w:tc>
          <w:tcPr>
            <w:tcW w:w="632" w:type="dxa"/>
            <w:tcBorders>
              <w:top w:val="single" w:sz="4" w:space="0" w:color="000000"/>
              <w:left w:val="single" w:sz="4" w:space="0" w:color="000000"/>
              <w:bottom w:val="single" w:sz="4" w:space="0" w:color="000000"/>
              <w:right w:val="single" w:sz="4" w:space="0" w:color="000000"/>
            </w:tcBorders>
          </w:tcPr>
          <w:p w:rsidR="00795935" w:rsidRDefault="00795935"/>
        </w:tc>
        <w:tc>
          <w:tcPr>
            <w:tcW w:w="631" w:type="dxa"/>
            <w:tcBorders>
              <w:top w:val="single" w:sz="4" w:space="0" w:color="000000"/>
              <w:left w:val="single" w:sz="4" w:space="0" w:color="000000"/>
              <w:bottom w:val="single" w:sz="4" w:space="0" w:color="000000"/>
              <w:right w:val="single" w:sz="4" w:space="0" w:color="000000"/>
            </w:tcBorders>
          </w:tcPr>
          <w:p w:rsidR="00795935" w:rsidRDefault="00795935"/>
        </w:tc>
        <w:tc>
          <w:tcPr>
            <w:tcW w:w="636" w:type="dxa"/>
            <w:tcBorders>
              <w:top w:val="single" w:sz="4" w:space="0" w:color="000000"/>
              <w:left w:val="single" w:sz="4" w:space="0" w:color="000000"/>
              <w:bottom w:val="single" w:sz="4" w:space="0" w:color="000000"/>
              <w:right w:val="single" w:sz="4" w:space="0" w:color="000000"/>
            </w:tcBorders>
          </w:tcPr>
          <w:p w:rsidR="00795935" w:rsidRDefault="00795935"/>
        </w:tc>
        <w:tc>
          <w:tcPr>
            <w:tcW w:w="3319" w:type="dxa"/>
            <w:tcBorders>
              <w:top w:val="single" w:sz="4" w:space="0" w:color="000000"/>
              <w:left w:val="single" w:sz="4" w:space="0" w:color="000000"/>
              <w:bottom w:val="single" w:sz="4" w:space="0" w:color="000000"/>
              <w:right w:val="single" w:sz="4" w:space="0" w:color="000000"/>
            </w:tcBorders>
          </w:tcPr>
          <w:p w:rsidR="00795935" w:rsidRDefault="00795935"/>
        </w:tc>
      </w:tr>
      <w:tr w:rsidR="00795935">
        <w:trPr>
          <w:trHeight w:hRule="exact" w:val="844"/>
        </w:trPr>
        <w:tc>
          <w:tcPr>
            <w:tcW w:w="895"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ind w:left="303"/>
              <w:rPr>
                <w:sz w:val="20"/>
              </w:rPr>
            </w:pPr>
            <w:r>
              <w:rPr>
                <w:sz w:val="20"/>
              </w:rPr>
              <w:t>1.2</w:t>
            </w:r>
          </w:p>
        </w:tc>
        <w:tc>
          <w:tcPr>
            <w:tcW w:w="4862"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ind w:right="109"/>
              <w:jc w:val="both"/>
              <w:rPr>
                <w:sz w:val="20"/>
              </w:rPr>
            </w:pPr>
            <w:r>
              <w:rPr>
                <w:sz w:val="20"/>
              </w:rPr>
              <w:t>Early allowance is made to develop high level divisions of responsibility to support contracting plan and procurement.</w:t>
            </w:r>
          </w:p>
        </w:tc>
        <w:tc>
          <w:tcPr>
            <w:tcW w:w="631" w:type="dxa"/>
            <w:tcBorders>
              <w:top w:val="single" w:sz="4" w:space="0" w:color="000000"/>
              <w:left w:val="single" w:sz="4" w:space="0" w:color="000000"/>
              <w:bottom w:val="single" w:sz="4" w:space="0" w:color="000000"/>
              <w:right w:val="single" w:sz="4" w:space="0" w:color="000000"/>
            </w:tcBorders>
          </w:tcPr>
          <w:p w:rsidR="00795935" w:rsidRDefault="00795935"/>
        </w:tc>
        <w:tc>
          <w:tcPr>
            <w:tcW w:w="632" w:type="dxa"/>
            <w:tcBorders>
              <w:top w:val="single" w:sz="4" w:space="0" w:color="000000"/>
              <w:left w:val="single" w:sz="4" w:space="0" w:color="000000"/>
              <w:bottom w:val="single" w:sz="4" w:space="0" w:color="000000"/>
              <w:right w:val="single" w:sz="4" w:space="0" w:color="000000"/>
            </w:tcBorders>
          </w:tcPr>
          <w:p w:rsidR="00795935" w:rsidRDefault="00795935"/>
        </w:tc>
        <w:tc>
          <w:tcPr>
            <w:tcW w:w="632" w:type="dxa"/>
            <w:tcBorders>
              <w:top w:val="single" w:sz="4" w:space="0" w:color="000000"/>
              <w:left w:val="single" w:sz="4" w:space="0" w:color="000000"/>
              <w:bottom w:val="single" w:sz="4" w:space="0" w:color="000000"/>
              <w:right w:val="single" w:sz="4" w:space="0" w:color="000000"/>
            </w:tcBorders>
          </w:tcPr>
          <w:p w:rsidR="00795935" w:rsidRDefault="00795935"/>
        </w:tc>
        <w:tc>
          <w:tcPr>
            <w:tcW w:w="631" w:type="dxa"/>
            <w:tcBorders>
              <w:top w:val="single" w:sz="4" w:space="0" w:color="000000"/>
              <w:left w:val="single" w:sz="4" w:space="0" w:color="000000"/>
              <w:bottom w:val="single" w:sz="4" w:space="0" w:color="000000"/>
              <w:right w:val="single" w:sz="4" w:space="0" w:color="000000"/>
            </w:tcBorders>
          </w:tcPr>
          <w:p w:rsidR="00795935" w:rsidRDefault="00795935"/>
        </w:tc>
        <w:tc>
          <w:tcPr>
            <w:tcW w:w="636" w:type="dxa"/>
            <w:tcBorders>
              <w:top w:val="single" w:sz="4" w:space="0" w:color="000000"/>
              <w:left w:val="single" w:sz="4" w:space="0" w:color="000000"/>
              <w:bottom w:val="single" w:sz="4" w:space="0" w:color="000000"/>
              <w:right w:val="single" w:sz="4" w:space="0" w:color="000000"/>
            </w:tcBorders>
          </w:tcPr>
          <w:p w:rsidR="00795935" w:rsidRDefault="00795935"/>
        </w:tc>
        <w:tc>
          <w:tcPr>
            <w:tcW w:w="3319" w:type="dxa"/>
            <w:tcBorders>
              <w:top w:val="single" w:sz="4" w:space="0" w:color="000000"/>
              <w:left w:val="single" w:sz="4" w:space="0" w:color="000000"/>
              <w:bottom w:val="single" w:sz="4" w:space="0" w:color="000000"/>
              <w:right w:val="single" w:sz="4" w:space="0" w:color="000000"/>
            </w:tcBorders>
          </w:tcPr>
          <w:p w:rsidR="00795935" w:rsidRDefault="00795935"/>
        </w:tc>
      </w:tr>
      <w:tr w:rsidR="00795935">
        <w:trPr>
          <w:trHeight w:hRule="exact" w:val="844"/>
        </w:trPr>
        <w:tc>
          <w:tcPr>
            <w:tcW w:w="895"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ind w:left="303"/>
              <w:rPr>
                <w:sz w:val="20"/>
              </w:rPr>
            </w:pPr>
            <w:r>
              <w:rPr>
                <w:sz w:val="20"/>
              </w:rPr>
              <w:t>1.3</w:t>
            </w:r>
          </w:p>
        </w:tc>
        <w:tc>
          <w:tcPr>
            <w:tcW w:w="4862" w:type="dxa"/>
            <w:tcBorders>
              <w:top w:val="single" w:sz="4" w:space="0" w:color="000000"/>
              <w:left w:val="single" w:sz="4" w:space="0" w:color="000000"/>
              <w:bottom w:val="single" w:sz="4" w:space="0" w:color="000000"/>
              <w:right w:val="single" w:sz="4" w:space="0" w:color="000000"/>
            </w:tcBorders>
          </w:tcPr>
          <w:p w:rsidR="00795935" w:rsidRDefault="001F4533">
            <w:pPr>
              <w:pStyle w:val="TableParagraph"/>
              <w:ind w:right="107"/>
              <w:jc w:val="both"/>
              <w:rPr>
                <w:sz w:val="20"/>
              </w:rPr>
            </w:pPr>
            <w:r>
              <w:rPr>
                <w:sz w:val="20"/>
              </w:rPr>
              <w:t>A detailed project execution plan is developed at the earliest stages of planning and includes basic construction sequencing planning.</w:t>
            </w:r>
          </w:p>
        </w:tc>
        <w:tc>
          <w:tcPr>
            <w:tcW w:w="631" w:type="dxa"/>
            <w:tcBorders>
              <w:top w:val="single" w:sz="4" w:space="0" w:color="000000"/>
              <w:left w:val="single" w:sz="4" w:space="0" w:color="000000"/>
              <w:bottom w:val="single" w:sz="4" w:space="0" w:color="000000"/>
              <w:right w:val="single" w:sz="4" w:space="0" w:color="000000"/>
            </w:tcBorders>
          </w:tcPr>
          <w:p w:rsidR="00795935" w:rsidRDefault="00795935"/>
        </w:tc>
        <w:tc>
          <w:tcPr>
            <w:tcW w:w="632" w:type="dxa"/>
            <w:tcBorders>
              <w:top w:val="single" w:sz="4" w:space="0" w:color="000000"/>
              <w:left w:val="single" w:sz="4" w:space="0" w:color="000000"/>
              <w:bottom w:val="single" w:sz="4" w:space="0" w:color="000000"/>
              <w:right w:val="single" w:sz="4" w:space="0" w:color="000000"/>
            </w:tcBorders>
          </w:tcPr>
          <w:p w:rsidR="00795935" w:rsidRDefault="00795935"/>
        </w:tc>
        <w:tc>
          <w:tcPr>
            <w:tcW w:w="632" w:type="dxa"/>
            <w:tcBorders>
              <w:top w:val="single" w:sz="4" w:space="0" w:color="000000"/>
              <w:left w:val="single" w:sz="4" w:space="0" w:color="000000"/>
              <w:bottom w:val="single" w:sz="4" w:space="0" w:color="000000"/>
              <w:right w:val="single" w:sz="4" w:space="0" w:color="000000"/>
            </w:tcBorders>
          </w:tcPr>
          <w:p w:rsidR="00795935" w:rsidRDefault="00795935"/>
        </w:tc>
        <w:tc>
          <w:tcPr>
            <w:tcW w:w="631" w:type="dxa"/>
            <w:tcBorders>
              <w:top w:val="single" w:sz="4" w:space="0" w:color="000000"/>
              <w:left w:val="single" w:sz="4" w:space="0" w:color="000000"/>
              <w:bottom w:val="single" w:sz="4" w:space="0" w:color="000000"/>
              <w:right w:val="single" w:sz="4" w:space="0" w:color="000000"/>
            </w:tcBorders>
          </w:tcPr>
          <w:p w:rsidR="00795935" w:rsidRDefault="00795935"/>
        </w:tc>
        <w:tc>
          <w:tcPr>
            <w:tcW w:w="636" w:type="dxa"/>
            <w:tcBorders>
              <w:top w:val="single" w:sz="4" w:space="0" w:color="000000"/>
              <w:left w:val="single" w:sz="4" w:space="0" w:color="000000"/>
              <w:bottom w:val="single" w:sz="4" w:space="0" w:color="000000"/>
              <w:right w:val="single" w:sz="4" w:space="0" w:color="000000"/>
            </w:tcBorders>
          </w:tcPr>
          <w:p w:rsidR="00795935" w:rsidRDefault="00795935"/>
        </w:tc>
        <w:tc>
          <w:tcPr>
            <w:tcW w:w="3319" w:type="dxa"/>
            <w:tcBorders>
              <w:top w:val="single" w:sz="4" w:space="0" w:color="000000"/>
              <w:left w:val="single" w:sz="4" w:space="0" w:color="000000"/>
              <w:bottom w:val="single" w:sz="4" w:space="0" w:color="000000"/>
              <w:right w:val="single" w:sz="4" w:space="0" w:color="000000"/>
            </w:tcBorders>
          </w:tcPr>
          <w:p w:rsidR="00795935" w:rsidRDefault="00795935"/>
        </w:tc>
      </w:tr>
    </w:tbl>
    <w:p w:rsidR="00795935" w:rsidRDefault="00795935">
      <w:pPr>
        <w:sectPr w:rsidR="00795935">
          <w:headerReference w:type="default" r:id="rId6"/>
          <w:footerReference w:type="default" r:id="rId7"/>
          <w:type w:val="continuous"/>
          <w:pgSz w:w="15840" w:h="12240" w:orient="landscape"/>
          <w:pgMar w:top="1460" w:right="0" w:bottom="880" w:left="2160" w:header="590" w:footer="689" w:gutter="0"/>
          <w:pgNumType w:start="1"/>
          <w:cols w:space="720"/>
        </w:sectPr>
      </w:pPr>
    </w:p>
    <w:p w:rsidR="00795935" w:rsidRDefault="00795935">
      <w:pPr>
        <w:pStyle w:val="BodyText"/>
        <w:rPr>
          <w:rFonts w:ascii="Times New Roman"/>
        </w:rPr>
      </w:pPr>
    </w:p>
    <w:p w:rsidR="00795935" w:rsidRDefault="00795935">
      <w:pPr>
        <w:pStyle w:val="BodyText"/>
        <w:spacing w:before="10" w:after="1"/>
        <w:rPr>
          <w:rFonts w:ascii="Times New Roman"/>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2408"/>
        <w:gridCol w:w="346"/>
        <w:gridCol w:w="1091"/>
        <w:gridCol w:w="525"/>
        <w:gridCol w:w="492"/>
        <w:gridCol w:w="631"/>
        <w:gridCol w:w="632"/>
        <w:gridCol w:w="632"/>
        <w:gridCol w:w="631"/>
        <w:gridCol w:w="636"/>
        <w:gridCol w:w="3319"/>
      </w:tblGrid>
      <w:tr w:rsidR="00795935">
        <w:trPr>
          <w:trHeight w:hRule="exact" w:val="1764"/>
        </w:trPr>
        <w:tc>
          <w:tcPr>
            <w:tcW w:w="895" w:type="dxa"/>
          </w:tcPr>
          <w:p w:rsidR="00795935" w:rsidRDefault="001F4533">
            <w:pPr>
              <w:pStyle w:val="TableParagraph"/>
              <w:ind w:left="303"/>
              <w:rPr>
                <w:sz w:val="20"/>
              </w:rPr>
            </w:pPr>
            <w:r>
              <w:rPr>
                <w:sz w:val="20"/>
              </w:rPr>
              <w:t>1.4</w:t>
            </w:r>
          </w:p>
        </w:tc>
        <w:tc>
          <w:tcPr>
            <w:tcW w:w="4862" w:type="dxa"/>
            <w:gridSpan w:val="5"/>
          </w:tcPr>
          <w:p w:rsidR="00795935" w:rsidRDefault="001F4533">
            <w:pPr>
              <w:pStyle w:val="TableParagraph"/>
              <w:ind w:right="107"/>
              <w:jc w:val="both"/>
              <w:rPr>
                <w:sz w:val="20"/>
              </w:rPr>
            </w:pPr>
            <w:r>
              <w:rPr>
                <w:sz w:val="20"/>
              </w:rPr>
              <w:t>Early decisions are made relevant to the level of detail required in engineering deliverables to  support down-stream work</w:t>
            </w:r>
            <w:r>
              <w:rPr>
                <w:spacing w:val="-7"/>
                <w:sz w:val="20"/>
              </w:rPr>
              <w:t xml:space="preserve"> </w:t>
            </w:r>
            <w:r>
              <w:rPr>
                <w:sz w:val="20"/>
              </w:rPr>
              <w:t>packaging.</w:t>
            </w:r>
          </w:p>
          <w:p w:rsidR="00795935" w:rsidRDefault="00795935">
            <w:pPr>
              <w:pStyle w:val="TableParagraph"/>
              <w:spacing w:before="0"/>
              <w:ind w:left="0"/>
              <w:rPr>
                <w:rFonts w:ascii="Times New Roman"/>
                <w:sz w:val="20"/>
              </w:rPr>
            </w:pPr>
          </w:p>
          <w:p w:rsidR="00795935" w:rsidRDefault="001F4533">
            <w:pPr>
              <w:pStyle w:val="TableParagraph"/>
              <w:spacing w:before="1"/>
              <w:ind w:right="105"/>
              <w:jc w:val="both"/>
              <w:rPr>
                <w:b/>
                <w:sz w:val="20"/>
              </w:rPr>
            </w:pPr>
            <w:r>
              <w:rPr>
                <w:b/>
                <w:sz w:val="20"/>
              </w:rPr>
              <w:t>Clarification: Steel design &amp; connections, min sized piping to be incorporated in isometrics, design detail for physical raceways &amp; conduit.</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074"/>
        </w:trPr>
        <w:tc>
          <w:tcPr>
            <w:tcW w:w="895" w:type="dxa"/>
          </w:tcPr>
          <w:p w:rsidR="00795935" w:rsidRDefault="001F4533">
            <w:pPr>
              <w:pStyle w:val="TableParagraph"/>
              <w:ind w:left="303"/>
              <w:rPr>
                <w:sz w:val="20"/>
              </w:rPr>
            </w:pPr>
            <w:r>
              <w:rPr>
                <w:sz w:val="20"/>
              </w:rPr>
              <w:t>1.5</w:t>
            </w:r>
          </w:p>
        </w:tc>
        <w:tc>
          <w:tcPr>
            <w:tcW w:w="4862" w:type="dxa"/>
            <w:gridSpan w:val="5"/>
          </w:tcPr>
          <w:p w:rsidR="00795935" w:rsidRDefault="001F4533">
            <w:pPr>
              <w:pStyle w:val="TableParagraph"/>
              <w:ind w:right="106"/>
              <w:jc w:val="both"/>
              <w:rPr>
                <w:sz w:val="20"/>
              </w:rPr>
            </w:pPr>
            <w:r>
              <w:rPr>
                <w:sz w:val="20"/>
              </w:rPr>
              <w:t>A responsibility matrix has been developed that tracks the work packaging process through the phases of planning, design, procurement and execution.</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3"/>
        </w:trPr>
        <w:tc>
          <w:tcPr>
            <w:tcW w:w="895" w:type="dxa"/>
          </w:tcPr>
          <w:p w:rsidR="00795935" w:rsidRDefault="001F4533">
            <w:pPr>
              <w:pStyle w:val="TableParagraph"/>
              <w:ind w:left="303"/>
              <w:rPr>
                <w:sz w:val="20"/>
              </w:rPr>
            </w:pPr>
            <w:r>
              <w:rPr>
                <w:sz w:val="20"/>
              </w:rPr>
              <w:t>1.6</w:t>
            </w:r>
          </w:p>
        </w:tc>
        <w:tc>
          <w:tcPr>
            <w:tcW w:w="2408" w:type="dxa"/>
            <w:tcBorders>
              <w:right w:val="nil"/>
            </w:tcBorders>
          </w:tcPr>
          <w:p w:rsidR="00795935" w:rsidRDefault="001F4533">
            <w:pPr>
              <w:pStyle w:val="TableParagraph"/>
              <w:tabs>
                <w:tab w:val="left" w:pos="1435"/>
              </w:tabs>
              <w:ind w:right="98"/>
              <w:rPr>
                <w:sz w:val="20"/>
              </w:rPr>
            </w:pPr>
            <w:r>
              <w:rPr>
                <w:sz w:val="20"/>
              </w:rPr>
              <w:t>Construction</w:t>
            </w:r>
            <w:r>
              <w:rPr>
                <w:sz w:val="20"/>
              </w:rPr>
              <w:tab/>
            </w:r>
            <w:r>
              <w:rPr>
                <w:spacing w:val="-1"/>
                <w:sz w:val="20"/>
              </w:rPr>
              <w:t xml:space="preserve">sequence </w:t>
            </w:r>
            <w:r>
              <w:rPr>
                <w:sz w:val="20"/>
              </w:rPr>
              <w:t>engineering</w:t>
            </w:r>
            <w:r>
              <w:rPr>
                <w:spacing w:val="-6"/>
                <w:sz w:val="20"/>
              </w:rPr>
              <w:t xml:space="preserve"> </w:t>
            </w:r>
            <w:r>
              <w:rPr>
                <w:sz w:val="20"/>
              </w:rPr>
              <w:t>plan.</w:t>
            </w:r>
          </w:p>
        </w:tc>
        <w:tc>
          <w:tcPr>
            <w:tcW w:w="346" w:type="dxa"/>
            <w:tcBorders>
              <w:left w:val="nil"/>
              <w:right w:val="nil"/>
            </w:tcBorders>
          </w:tcPr>
          <w:p w:rsidR="00795935" w:rsidRDefault="001F4533">
            <w:pPr>
              <w:pStyle w:val="TableParagraph"/>
              <w:ind w:left="100"/>
              <w:rPr>
                <w:sz w:val="20"/>
              </w:rPr>
            </w:pPr>
            <w:r>
              <w:rPr>
                <w:sz w:val="20"/>
              </w:rPr>
              <w:t>is</w:t>
            </w:r>
          </w:p>
        </w:tc>
        <w:tc>
          <w:tcPr>
            <w:tcW w:w="1091" w:type="dxa"/>
            <w:tcBorders>
              <w:left w:val="nil"/>
              <w:right w:val="nil"/>
            </w:tcBorders>
          </w:tcPr>
          <w:p w:rsidR="00795935" w:rsidRDefault="001F4533">
            <w:pPr>
              <w:pStyle w:val="TableParagraph"/>
              <w:ind w:left="100"/>
              <w:rPr>
                <w:sz w:val="20"/>
              </w:rPr>
            </w:pPr>
            <w:r>
              <w:rPr>
                <w:sz w:val="20"/>
              </w:rPr>
              <w:t>integrated</w:t>
            </w:r>
          </w:p>
        </w:tc>
        <w:tc>
          <w:tcPr>
            <w:tcW w:w="525" w:type="dxa"/>
            <w:tcBorders>
              <w:left w:val="nil"/>
              <w:right w:val="nil"/>
            </w:tcBorders>
          </w:tcPr>
          <w:p w:rsidR="00795935" w:rsidRDefault="001F4533">
            <w:pPr>
              <w:pStyle w:val="TableParagraph"/>
              <w:ind w:left="100"/>
              <w:rPr>
                <w:sz w:val="20"/>
              </w:rPr>
            </w:pPr>
            <w:r>
              <w:rPr>
                <w:sz w:val="20"/>
              </w:rPr>
              <w:t>into</w:t>
            </w:r>
          </w:p>
        </w:tc>
        <w:tc>
          <w:tcPr>
            <w:tcW w:w="492" w:type="dxa"/>
            <w:tcBorders>
              <w:left w:val="nil"/>
            </w:tcBorders>
          </w:tcPr>
          <w:p w:rsidR="00795935" w:rsidRDefault="001F4533">
            <w:pPr>
              <w:pStyle w:val="TableParagraph"/>
              <w:ind w:left="100"/>
              <w:rPr>
                <w:sz w:val="20"/>
              </w:rPr>
            </w:pPr>
            <w:r>
              <w:rPr>
                <w:sz w:val="20"/>
              </w:rPr>
              <w:t>the</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074"/>
        </w:trPr>
        <w:tc>
          <w:tcPr>
            <w:tcW w:w="895" w:type="dxa"/>
          </w:tcPr>
          <w:p w:rsidR="00795935" w:rsidRDefault="001F4533">
            <w:pPr>
              <w:pStyle w:val="TableParagraph"/>
              <w:spacing w:before="70"/>
              <w:ind w:left="303"/>
              <w:rPr>
                <w:sz w:val="20"/>
              </w:rPr>
            </w:pPr>
            <w:r>
              <w:rPr>
                <w:sz w:val="20"/>
              </w:rPr>
              <w:t>1.7</w:t>
            </w:r>
          </w:p>
        </w:tc>
        <w:tc>
          <w:tcPr>
            <w:tcW w:w="4862" w:type="dxa"/>
            <w:gridSpan w:val="5"/>
          </w:tcPr>
          <w:p w:rsidR="00795935" w:rsidRDefault="001F4533">
            <w:pPr>
              <w:pStyle w:val="TableParagraph"/>
              <w:spacing w:before="70"/>
              <w:ind w:right="106"/>
              <w:jc w:val="both"/>
              <w:rPr>
                <w:sz w:val="20"/>
              </w:rPr>
            </w:pPr>
            <w:r>
              <w:rPr>
                <w:sz w:val="20"/>
              </w:rPr>
              <w:t>Physical site constraints, procurement constraints, environmental constraints, permitting constraints, etc., are incorporated into the CWP and EWP development.</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074"/>
        </w:trPr>
        <w:tc>
          <w:tcPr>
            <w:tcW w:w="895" w:type="dxa"/>
          </w:tcPr>
          <w:p w:rsidR="00795935" w:rsidRDefault="001F4533">
            <w:pPr>
              <w:pStyle w:val="TableParagraph"/>
              <w:spacing w:before="70"/>
              <w:ind w:left="303"/>
              <w:rPr>
                <w:sz w:val="20"/>
              </w:rPr>
            </w:pPr>
            <w:r>
              <w:rPr>
                <w:sz w:val="20"/>
              </w:rPr>
              <w:t>1.8</w:t>
            </w:r>
          </w:p>
        </w:tc>
        <w:tc>
          <w:tcPr>
            <w:tcW w:w="4862" w:type="dxa"/>
            <w:gridSpan w:val="5"/>
          </w:tcPr>
          <w:p w:rsidR="00795935" w:rsidRDefault="001F4533">
            <w:pPr>
              <w:pStyle w:val="TableParagraph"/>
              <w:spacing w:before="70"/>
              <w:ind w:right="106"/>
              <w:jc w:val="both"/>
              <w:rPr>
                <w:sz w:val="20"/>
              </w:rPr>
            </w:pPr>
            <w:r>
              <w:rPr>
                <w:sz w:val="20"/>
              </w:rPr>
              <w:t>An ongoing feedback loop exists between the construction planning and engineering planning so that both are proceeding in alignment with work packaging planning.</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5"/>
        </w:trPr>
        <w:tc>
          <w:tcPr>
            <w:tcW w:w="895" w:type="dxa"/>
          </w:tcPr>
          <w:p w:rsidR="00795935" w:rsidRDefault="001F4533">
            <w:pPr>
              <w:pStyle w:val="TableParagraph"/>
              <w:spacing w:before="70"/>
              <w:ind w:left="303"/>
              <w:rPr>
                <w:sz w:val="20"/>
              </w:rPr>
            </w:pPr>
            <w:r>
              <w:rPr>
                <w:sz w:val="20"/>
              </w:rPr>
              <w:t>1.9</w:t>
            </w:r>
          </w:p>
        </w:tc>
        <w:tc>
          <w:tcPr>
            <w:tcW w:w="4862" w:type="dxa"/>
            <w:gridSpan w:val="5"/>
          </w:tcPr>
          <w:p w:rsidR="00795935" w:rsidRDefault="001F4533">
            <w:pPr>
              <w:pStyle w:val="TableParagraph"/>
              <w:spacing w:before="70"/>
              <w:ind w:right="106"/>
              <w:jc w:val="both"/>
              <w:rPr>
                <w:sz w:val="20"/>
              </w:rPr>
            </w:pPr>
            <w:r>
              <w:rPr>
                <w:sz w:val="20"/>
              </w:rPr>
              <w:t>A level two schedule has been developed that reflects the construction execution plan, engineering plan, established boundaries, and constraints.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430"/>
        </w:trPr>
        <w:tc>
          <w:tcPr>
            <w:tcW w:w="895" w:type="dxa"/>
          </w:tcPr>
          <w:p w:rsidR="00795935" w:rsidRDefault="00795935"/>
        </w:tc>
        <w:tc>
          <w:tcPr>
            <w:tcW w:w="4862" w:type="dxa"/>
            <w:gridSpan w:val="5"/>
          </w:tcPr>
          <w:p w:rsidR="00795935" w:rsidRDefault="001F4533">
            <w:pPr>
              <w:pStyle w:val="TableParagraph"/>
              <w:ind w:right="110"/>
              <w:rPr>
                <w:sz w:val="24"/>
              </w:rPr>
            </w:pPr>
            <w:r>
              <w:rPr>
                <w:b/>
                <w:sz w:val="24"/>
              </w:rPr>
              <w:t xml:space="preserve">Section 1.0 Total </w:t>
            </w:r>
            <w:r>
              <w:rPr>
                <w:sz w:val="24"/>
              </w:rPr>
              <w:t>(out of 45)</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sectPr w:rsidR="00795935">
          <w:pgSz w:w="15840" w:h="12240" w:orient="landscape"/>
          <w:pgMar w:top="1460" w:right="0" w:bottom="880" w:left="2160" w:header="590" w:footer="689" w:gutter="0"/>
          <w:cols w:space="720"/>
        </w:sectPr>
      </w:pPr>
    </w:p>
    <w:p w:rsidR="00795935" w:rsidRDefault="00795935">
      <w:pPr>
        <w:pStyle w:val="BodyText"/>
        <w:rPr>
          <w:rFonts w:ascii="Times New Roman"/>
        </w:rPr>
      </w:pPr>
    </w:p>
    <w:p w:rsidR="00795935" w:rsidRDefault="00795935">
      <w:pPr>
        <w:pStyle w:val="BodyText"/>
        <w:spacing w:before="10" w:after="1"/>
        <w:rPr>
          <w:rFonts w:ascii="Times New Roman"/>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1740"/>
        <w:gridCol w:w="1028"/>
        <w:gridCol w:w="317"/>
        <w:gridCol w:w="1116"/>
        <w:gridCol w:w="662"/>
        <w:gridCol w:w="631"/>
        <w:gridCol w:w="632"/>
        <w:gridCol w:w="632"/>
        <w:gridCol w:w="631"/>
        <w:gridCol w:w="636"/>
        <w:gridCol w:w="3320"/>
      </w:tblGrid>
      <w:tr w:rsidR="00795935">
        <w:trPr>
          <w:trHeight w:hRule="exact" w:val="551"/>
        </w:trPr>
        <w:tc>
          <w:tcPr>
            <w:tcW w:w="895" w:type="dxa"/>
          </w:tcPr>
          <w:p w:rsidR="00795935" w:rsidRDefault="001F4533">
            <w:pPr>
              <w:pStyle w:val="TableParagraph"/>
              <w:spacing w:before="70"/>
              <w:ind w:left="275"/>
              <w:rPr>
                <w:b/>
                <w:sz w:val="24"/>
              </w:rPr>
            </w:pPr>
            <w:r>
              <w:rPr>
                <w:b/>
                <w:sz w:val="24"/>
              </w:rPr>
              <w:t>2.0</w:t>
            </w:r>
          </w:p>
        </w:tc>
        <w:tc>
          <w:tcPr>
            <w:tcW w:w="4862" w:type="dxa"/>
            <w:gridSpan w:val="5"/>
          </w:tcPr>
          <w:p w:rsidR="00795935" w:rsidRDefault="001F4533">
            <w:pPr>
              <w:pStyle w:val="TableParagraph"/>
              <w:spacing w:before="70"/>
              <w:ind w:right="110"/>
              <w:rPr>
                <w:b/>
                <w:sz w:val="24"/>
              </w:rPr>
            </w:pPr>
            <w:r>
              <w:rPr>
                <w:b/>
                <w:sz w:val="24"/>
              </w:rPr>
              <w:t>Installation Work Package</w:t>
            </w:r>
          </w:p>
        </w:tc>
        <w:tc>
          <w:tcPr>
            <w:tcW w:w="6482" w:type="dxa"/>
            <w:gridSpan w:val="6"/>
          </w:tcPr>
          <w:p w:rsidR="00795935" w:rsidRDefault="00795935"/>
        </w:tc>
      </w:tr>
      <w:tr w:rsidR="00795935">
        <w:trPr>
          <w:trHeight w:hRule="exact" w:val="614"/>
        </w:trPr>
        <w:tc>
          <w:tcPr>
            <w:tcW w:w="895" w:type="dxa"/>
          </w:tcPr>
          <w:p w:rsidR="00795935" w:rsidRDefault="001F4533">
            <w:pPr>
              <w:pStyle w:val="TableParagraph"/>
              <w:ind w:left="303"/>
              <w:rPr>
                <w:sz w:val="20"/>
              </w:rPr>
            </w:pPr>
            <w:r>
              <w:rPr>
                <w:sz w:val="20"/>
              </w:rPr>
              <w:t>2.1</w:t>
            </w:r>
          </w:p>
        </w:tc>
        <w:tc>
          <w:tcPr>
            <w:tcW w:w="1740" w:type="dxa"/>
            <w:tcBorders>
              <w:right w:val="nil"/>
            </w:tcBorders>
          </w:tcPr>
          <w:p w:rsidR="00795935" w:rsidRDefault="001F4533">
            <w:pPr>
              <w:pStyle w:val="TableParagraph"/>
              <w:rPr>
                <w:sz w:val="20"/>
              </w:rPr>
            </w:pPr>
            <w:r>
              <w:rPr>
                <w:sz w:val="20"/>
              </w:rPr>
              <w:t>Work is always Packages (IWP).</w:t>
            </w:r>
          </w:p>
        </w:tc>
        <w:tc>
          <w:tcPr>
            <w:tcW w:w="1028" w:type="dxa"/>
            <w:tcBorders>
              <w:left w:val="nil"/>
              <w:right w:val="nil"/>
            </w:tcBorders>
          </w:tcPr>
          <w:p w:rsidR="00795935" w:rsidRDefault="001F4533">
            <w:pPr>
              <w:pStyle w:val="TableParagraph"/>
              <w:ind w:left="79"/>
              <w:rPr>
                <w:sz w:val="20"/>
              </w:rPr>
            </w:pPr>
            <w:r>
              <w:rPr>
                <w:sz w:val="20"/>
              </w:rPr>
              <w:t>packaged</w:t>
            </w:r>
          </w:p>
        </w:tc>
        <w:tc>
          <w:tcPr>
            <w:tcW w:w="317" w:type="dxa"/>
            <w:tcBorders>
              <w:left w:val="nil"/>
              <w:right w:val="nil"/>
            </w:tcBorders>
          </w:tcPr>
          <w:p w:rsidR="00795935" w:rsidRDefault="001F4533">
            <w:pPr>
              <w:pStyle w:val="TableParagraph"/>
              <w:ind w:left="80"/>
              <w:rPr>
                <w:sz w:val="20"/>
              </w:rPr>
            </w:pPr>
            <w:r>
              <w:rPr>
                <w:sz w:val="20"/>
              </w:rPr>
              <w:t>in</w:t>
            </w:r>
          </w:p>
        </w:tc>
        <w:tc>
          <w:tcPr>
            <w:tcW w:w="1116" w:type="dxa"/>
            <w:tcBorders>
              <w:left w:val="nil"/>
              <w:right w:val="nil"/>
            </w:tcBorders>
          </w:tcPr>
          <w:p w:rsidR="00795935" w:rsidRDefault="001F4533">
            <w:pPr>
              <w:pStyle w:val="TableParagraph"/>
              <w:ind w:left="80"/>
              <w:rPr>
                <w:sz w:val="20"/>
              </w:rPr>
            </w:pPr>
            <w:r>
              <w:rPr>
                <w:sz w:val="20"/>
              </w:rPr>
              <w:t>Installation</w:t>
            </w:r>
          </w:p>
        </w:tc>
        <w:tc>
          <w:tcPr>
            <w:tcW w:w="662" w:type="dxa"/>
            <w:tcBorders>
              <w:left w:val="nil"/>
            </w:tcBorders>
          </w:tcPr>
          <w:p w:rsidR="00795935" w:rsidRDefault="001F4533">
            <w:pPr>
              <w:pStyle w:val="TableParagraph"/>
              <w:ind w:left="80"/>
              <w:rPr>
                <w:sz w:val="20"/>
              </w:rPr>
            </w:pPr>
            <w:r>
              <w:rPr>
                <w:sz w:val="20"/>
              </w:rPr>
              <w:t>Work</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ind w:left="303"/>
              <w:rPr>
                <w:sz w:val="20"/>
              </w:rPr>
            </w:pPr>
            <w:r>
              <w:rPr>
                <w:sz w:val="20"/>
              </w:rPr>
              <w:t>2.2</w:t>
            </w:r>
          </w:p>
        </w:tc>
        <w:tc>
          <w:tcPr>
            <w:tcW w:w="4862" w:type="dxa"/>
            <w:gridSpan w:val="5"/>
          </w:tcPr>
          <w:p w:rsidR="00795935" w:rsidRDefault="001F4533">
            <w:pPr>
              <w:pStyle w:val="TableParagraph"/>
              <w:ind w:right="106" w:hanging="1"/>
              <w:jc w:val="both"/>
              <w:rPr>
                <w:sz w:val="20"/>
              </w:rPr>
            </w:pPr>
            <w:r>
              <w:rPr>
                <w:sz w:val="20"/>
              </w:rPr>
              <w:t>IWPs always identify the work to be completed by the team c/w technical data, drawings, and specifications.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534"/>
        </w:trPr>
        <w:tc>
          <w:tcPr>
            <w:tcW w:w="895" w:type="dxa"/>
          </w:tcPr>
          <w:p w:rsidR="00795935" w:rsidRDefault="001F4533">
            <w:pPr>
              <w:pStyle w:val="TableParagraph"/>
              <w:ind w:left="303"/>
              <w:rPr>
                <w:sz w:val="20"/>
              </w:rPr>
            </w:pPr>
            <w:r>
              <w:rPr>
                <w:sz w:val="20"/>
              </w:rPr>
              <w:t>2.3</w:t>
            </w:r>
          </w:p>
        </w:tc>
        <w:tc>
          <w:tcPr>
            <w:tcW w:w="4862" w:type="dxa"/>
            <w:gridSpan w:val="5"/>
          </w:tcPr>
          <w:p w:rsidR="00795935" w:rsidRDefault="001F4533">
            <w:pPr>
              <w:pStyle w:val="TableParagraph"/>
              <w:ind w:right="108" w:hanging="1"/>
              <w:jc w:val="both"/>
              <w:rPr>
                <w:sz w:val="20"/>
              </w:rPr>
            </w:pPr>
            <w:r>
              <w:rPr>
                <w:sz w:val="20"/>
              </w:rPr>
              <w:t>All IWPs identify the general sequence of the work and the labor necessary to complete the work.</w:t>
            </w:r>
          </w:p>
          <w:p w:rsidR="00795935" w:rsidRDefault="00795935">
            <w:pPr>
              <w:pStyle w:val="TableParagraph"/>
              <w:spacing w:before="0"/>
              <w:ind w:left="0"/>
              <w:rPr>
                <w:rFonts w:ascii="Times New Roman"/>
                <w:sz w:val="20"/>
              </w:rPr>
            </w:pPr>
          </w:p>
          <w:p w:rsidR="00795935" w:rsidRDefault="001F4533">
            <w:pPr>
              <w:pStyle w:val="TableParagraph"/>
              <w:spacing w:before="1"/>
              <w:ind w:right="106"/>
              <w:jc w:val="both"/>
              <w:rPr>
                <w:b/>
                <w:sz w:val="20"/>
              </w:rPr>
            </w:pPr>
            <w:r>
              <w:rPr>
                <w:b/>
                <w:sz w:val="20"/>
              </w:rPr>
              <w:t>Clarification: The planned job task steps and  the actual crew allocation for planned activities is a foreman’s</w:t>
            </w:r>
            <w:r>
              <w:rPr>
                <w:b/>
                <w:spacing w:val="-20"/>
                <w:sz w:val="20"/>
              </w:rPr>
              <w:t xml:space="preserve"> </w:t>
            </w:r>
            <w:r>
              <w:rPr>
                <w:b/>
                <w:sz w:val="20"/>
              </w:rPr>
              <w:t>responsibility.</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304"/>
        </w:trPr>
        <w:tc>
          <w:tcPr>
            <w:tcW w:w="895" w:type="dxa"/>
          </w:tcPr>
          <w:p w:rsidR="00795935" w:rsidRDefault="001F4533">
            <w:pPr>
              <w:pStyle w:val="TableParagraph"/>
              <w:spacing w:before="70"/>
              <w:ind w:left="303"/>
              <w:rPr>
                <w:sz w:val="20"/>
              </w:rPr>
            </w:pPr>
            <w:r>
              <w:rPr>
                <w:sz w:val="20"/>
              </w:rPr>
              <w:t>2.4</w:t>
            </w:r>
          </w:p>
        </w:tc>
        <w:tc>
          <w:tcPr>
            <w:tcW w:w="4862" w:type="dxa"/>
            <w:gridSpan w:val="5"/>
          </w:tcPr>
          <w:p w:rsidR="00795935" w:rsidRDefault="001F4533">
            <w:pPr>
              <w:pStyle w:val="TableParagraph"/>
              <w:spacing w:before="70"/>
              <w:ind w:right="110"/>
              <w:rPr>
                <w:sz w:val="20"/>
              </w:rPr>
            </w:pPr>
            <w:r>
              <w:rPr>
                <w:sz w:val="20"/>
              </w:rPr>
              <w:t>All IWPs identify all required material necessary to complete the work.</w:t>
            </w:r>
          </w:p>
          <w:p w:rsidR="00795935" w:rsidRDefault="00795935">
            <w:pPr>
              <w:pStyle w:val="TableParagraph"/>
              <w:spacing w:before="2"/>
              <w:ind w:left="0"/>
              <w:rPr>
                <w:rFonts w:ascii="Times New Roman"/>
                <w:sz w:val="20"/>
              </w:rPr>
            </w:pPr>
          </w:p>
          <w:p w:rsidR="00795935" w:rsidRDefault="001F4533">
            <w:pPr>
              <w:pStyle w:val="TableParagraph"/>
              <w:spacing w:before="0"/>
              <w:ind w:right="110"/>
              <w:rPr>
                <w:b/>
                <w:sz w:val="20"/>
              </w:rPr>
            </w:pPr>
            <w:r>
              <w:rPr>
                <w:b/>
                <w:sz w:val="20"/>
              </w:rPr>
              <w:t>Clarification: The Bill of Material is segregated by IWP.</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3"/>
        </w:trPr>
        <w:tc>
          <w:tcPr>
            <w:tcW w:w="895" w:type="dxa"/>
          </w:tcPr>
          <w:p w:rsidR="00795935" w:rsidRDefault="001F4533">
            <w:pPr>
              <w:pStyle w:val="TableParagraph"/>
              <w:ind w:left="303"/>
              <w:rPr>
                <w:sz w:val="20"/>
              </w:rPr>
            </w:pPr>
            <w:r>
              <w:rPr>
                <w:sz w:val="20"/>
              </w:rPr>
              <w:t>2.5</w:t>
            </w:r>
          </w:p>
        </w:tc>
        <w:tc>
          <w:tcPr>
            <w:tcW w:w="4862" w:type="dxa"/>
            <w:gridSpan w:val="5"/>
          </w:tcPr>
          <w:p w:rsidR="00795935" w:rsidRDefault="001F4533">
            <w:pPr>
              <w:pStyle w:val="TableParagraph"/>
              <w:ind w:right="110"/>
              <w:rPr>
                <w:sz w:val="20"/>
              </w:rPr>
            </w:pPr>
            <w:r>
              <w:rPr>
                <w:sz w:val="20"/>
              </w:rPr>
              <w:t>Work face Planners start creating virtual IWPs as soon as the level three schedule has been issued.</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4"/>
        </w:trPr>
        <w:tc>
          <w:tcPr>
            <w:tcW w:w="895" w:type="dxa"/>
          </w:tcPr>
          <w:p w:rsidR="00795935" w:rsidRDefault="001F4533">
            <w:pPr>
              <w:pStyle w:val="TableParagraph"/>
              <w:spacing w:before="70"/>
              <w:ind w:left="303"/>
              <w:rPr>
                <w:sz w:val="20"/>
              </w:rPr>
            </w:pPr>
            <w:r>
              <w:rPr>
                <w:sz w:val="20"/>
              </w:rPr>
              <w:t>2.6</w:t>
            </w:r>
          </w:p>
        </w:tc>
        <w:tc>
          <w:tcPr>
            <w:tcW w:w="4862" w:type="dxa"/>
            <w:gridSpan w:val="5"/>
          </w:tcPr>
          <w:p w:rsidR="00795935" w:rsidRDefault="001F4533">
            <w:pPr>
              <w:pStyle w:val="TableParagraph"/>
              <w:spacing w:before="70"/>
              <w:ind w:right="110"/>
              <w:rPr>
                <w:sz w:val="20"/>
              </w:rPr>
            </w:pPr>
            <w:r>
              <w:rPr>
                <w:sz w:val="20"/>
              </w:rPr>
              <w:t>All virtually created IWPs are backed up in a safe location.</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074"/>
        </w:trPr>
        <w:tc>
          <w:tcPr>
            <w:tcW w:w="895" w:type="dxa"/>
          </w:tcPr>
          <w:p w:rsidR="00795935" w:rsidRDefault="001F4533">
            <w:pPr>
              <w:pStyle w:val="TableParagraph"/>
              <w:ind w:left="303"/>
              <w:rPr>
                <w:sz w:val="20"/>
              </w:rPr>
            </w:pPr>
            <w:r>
              <w:rPr>
                <w:sz w:val="20"/>
              </w:rPr>
              <w:t>2.7</w:t>
            </w:r>
          </w:p>
        </w:tc>
        <w:tc>
          <w:tcPr>
            <w:tcW w:w="4862" w:type="dxa"/>
            <w:gridSpan w:val="5"/>
          </w:tcPr>
          <w:p w:rsidR="00795935" w:rsidRDefault="001F4533">
            <w:pPr>
              <w:pStyle w:val="TableParagraph"/>
              <w:ind w:right="103"/>
              <w:jc w:val="both"/>
              <w:rPr>
                <w:sz w:val="20"/>
              </w:rPr>
            </w:pPr>
            <w:r>
              <w:rPr>
                <w:sz w:val="20"/>
              </w:rPr>
              <w:t>IWPs are generally retained in virtual format and are not issued in hard copy format until 1 to 2 weeks prior to execution and/or until known constraints have been met.</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4"/>
        </w:trPr>
        <w:tc>
          <w:tcPr>
            <w:tcW w:w="895" w:type="dxa"/>
          </w:tcPr>
          <w:p w:rsidR="00795935" w:rsidRDefault="001F4533">
            <w:pPr>
              <w:pStyle w:val="TableParagraph"/>
              <w:ind w:left="303"/>
              <w:rPr>
                <w:sz w:val="20"/>
              </w:rPr>
            </w:pPr>
            <w:r>
              <w:rPr>
                <w:sz w:val="20"/>
              </w:rPr>
              <w:t>2.8</w:t>
            </w:r>
          </w:p>
        </w:tc>
        <w:tc>
          <w:tcPr>
            <w:tcW w:w="4862" w:type="dxa"/>
            <w:gridSpan w:val="5"/>
          </w:tcPr>
          <w:p w:rsidR="00795935" w:rsidRDefault="001F4533">
            <w:pPr>
              <w:pStyle w:val="TableParagraph"/>
              <w:rPr>
                <w:sz w:val="20"/>
              </w:rPr>
            </w:pPr>
            <w:r>
              <w:rPr>
                <w:sz w:val="20"/>
              </w:rPr>
              <w:t>IWPs are not being issued too far in advance, which would cause un-issued packages to build up.</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ind w:left="303"/>
              <w:rPr>
                <w:sz w:val="20"/>
              </w:rPr>
            </w:pPr>
            <w:r>
              <w:rPr>
                <w:sz w:val="20"/>
              </w:rPr>
              <w:t>2.9</w:t>
            </w:r>
          </w:p>
        </w:tc>
        <w:tc>
          <w:tcPr>
            <w:tcW w:w="4862" w:type="dxa"/>
            <w:gridSpan w:val="5"/>
          </w:tcPr>
          <w:p w:rsidR="00795935" w:rsidRDefault="001F4533">
            <w:pPr>
              <w:pStyle w:val="TableParagraph"/>
              <w:ind w:right="106"/>
              <w:jc w:val="both"/>
              <w:rPr>
                <w:sz w:val="20"/>
              </w:rPr>
            </w:pPr>
            <w:r>
              <w:rPr>
                <w:sz w:val="20"/>
              </w:rPr>
              <w:t>The IWP process is well documented in a written procedure with input from Planning and Document Control.</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sectPr w:rsidR="00795935">
          <w:pgSz w:w="15840" w:h="12240" w:orient="landscape"/>
          <w:pgMar w:top="1460" w:right="0" w:bottom="880" w:left="2160" w:header="590" w:footer="689" w:gutter="0"/>
          <w:cols w:space="720"/>
        </w:sectPr>
      </w:pPr>
    </w:p>
    <w:p w:rsidR="00795935" w:rsidRDefault="00795935">
      <w:pPr>
        <w:pStyle w:val="BodyText"/>
        <w:rPr>
          <w:rFonts w:ascii="Times New Roman"/>
        </w:rPr>
      </w:pPr>
    </w:p>
    <w:p w:rsidR="00795935" w:rsidRDefault="00795935">
      <w:pPr>
        <w:pStyle w:val="BodyText"/>
        <w:spacing w:before="10" w:after="1"/>
        <w:rPr>
          <w:rFonts w:ascii="Times New Roman"/>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19"/>
      </w:tblGrid>
      <w:tr w:rsidR="00795935">
        <w:trPr>
          <w:trHeight w:hRule="exact" w:val="614"/>
        </w:trPr>
        <w:tc>
          <w:tcPr>
            <w:tcW w:w="895" w:type="dxa"/>
          </w:tcPr>
          <w:p w:rsidR="00795935" w:rsidRDefault="001F4533">
            <w:pPr>
              <w:pStyle w:val="TableParagraph"/>
              <w:ind w:left="227" w:right="227"/>
              <w:jc w:val="center"/>
              <w:rPr>
                <w:sz w:val="20"/>
              </w:rPr>
            </w:pPr>
            <w:r>
              <w:rPr>
                <w:sz w:val="20"/>
              </w:rPr>
              <w:t>2.10</w:t>
            </w:r>
          </w:p>
        </w:tc>
        <w:tc>
          <w:tcPr>
            <w:tcW w:w="4862" w:type="dxa"/>
          </w:tcPr>
          <w:p w:rsidR="00795935" w:rsidRDefault="001F4533">
            <w:pPr>
              <w:pStyle w:val="TableParagraph"/>
              <w:ind w:right="110"/>
              <w:rPr>
                <w:sz w:val="20"/>
              </w:rPr>
            </w:pPr>
            <w:r>
              <w:rPr>
                <w:sz w:val="20"/>
              </w:rPr>
              <w:t>IWP issuance and status is controlled through the formal use of transmittals.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3"/>
        </w:trPr>
        <w:tc>
          <w:tcPr>
            <w:tcW w:w="895" w:type="dxa"/>
          </w:tcPr>
          <w:p w:rsidR="00795935" w:rsidRDefault="001F4533">
            <w:pPr>
              <w:pStyle w:val="TableParagraph"/>
              <w:ind w:left="228" w:right="227"/>
              <w:jc w:val="center"/>
              <w:rPr>
                <w:sz w:val="20"/>
              </w:rPr>
            </w:pPr>
            <w:r>
              <w:rPr>
                <w:sz w:val="20"/>
              </w:rPr>
              <w:t>2.11</w:t>
            </w:r>
          </w:p>
        </w:tc>
        <w:tc>
          <w:tcPr>
            <w:tcW w:w="4862" w:type="dxa"/>
          </w:tcPr>
          <w:p w:rsidR="00795935" w:rsidRDefault="001F4533">
            <w:pPr>
              <w:pStyle w:val="TableParagraph"/>
              <w:rPr>
                <w:sz w:val="20"/>
              </w:rPr>
            </w:pPr>
            <w:r>
              <w:rPr>
                <w:sz w:val="20"/>
              </w:rPr>
              <w:t>IWPs released by Document Control are complete and bound, i.e., not partial and no loose documents.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spacing w:before="70"/>
              <w:ind w:left="227" w:right="227"/>
              <w:jc w:val="center"/>
              <w:rPr>
                <w:sz w:val="20"/>
              </w:rPr>
            </w:pPr>
            <w:r>
              <w:rPr>
                <w:sz w:val="20"/>
              </w:rPr>
              <w:t>2.12</w:t>
            </w:r>
          </w:p>
        </w:tc>
        <w:tc>
          <w:tcPr>
            <w:tcW w:w="4862" w:type="dxa"/>
          </w:tcPr>
          <w:p w:rsidR="00795935" w:rsidRDefault="001F4533">
            <w:pPr>
              <w:pStyle w:val="TableParagraph"/>
              <w:spacing w:before="70"/>
              <w:ind w:right="108" w:hanging="1"/>
              <w:jc w:val="both"/>
              <w:rPr>
                <w:sz w:val="20"/>
              </w:rPr>
            </w:pPr>
            <w:r>
              <w:rPr>
                <w:sz w:val="20"/>
              </w:rPr>
              <w:t>All IWPs identify all required specialty tools, scaffolding, and construction equipment necessary to complete the work.</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028"/>
        </w:trPr>
        <w:tc>
          <w:tcPr>
            <w:tcW w:w="895" w:type="dxa"/>
          </w:tcPr>
          <w:p w:rsidR="00795935" w:rsidRDefault="001F4533">
            <w:pPr>
              <w:pStyle w:val="TableParagraph"/>
              <w:spacing w:before="70"/>
              <w:ind w:left="228" w:right="227"/>
              <w:jc w:val="center"/>
              <w:rPr>
                <w:sz w:val="20"/>
              </w:rPr>
            </w:pPr>
            <w:r>
              <w:rPr>
                <w:sz w:val="20"/>
              </w:rPr>
              <w:t>2.13</w:t>
            </w:r>
          </w:p>
        </w:tc>
        <w:tc>
          <w:tcPr>
            <w:tcW w:w="4862" w:type="dxa"/>
          </w:tcPr>
          <w:p w:rsidR="00795935" w:rsidRDefault="001F4533">
            <w:pPr>
              <w:pStyle w:val="TableParagraph"/>
              <w:spacing w:before="70"/>
              <w:ind w:right="110"/>
              <w:rPr>
                <w:sz w:val="20"/>
              </w:rPr>
            </w:pPr>
            <w:r>
              <w:rPr>
                <w:sz w:val="20"/>
              </w:rPr>
              <w:t>All IWPs identify all relevant special conditions.</w:t>
            </w:r>
          </w:p>
          <w:p w:rsidR="00795935" w:rsidRDefault="00795935">
            <w:pPr>
              <w:pStyle w:val="TableParagraph"/>
              <w:spacing w:before="1"/>
              <w:ind w:left="0"/>
              <w:rPr>
                <w:rFonts w:ascii="Times New Roman"/>
                <w:sz w:val="16"/>
              </w:rPr>
            </w:pPr>
          </w:p>
          <w:p w:rsidR="00795935" w:rsidRDefault="001F4533">
            <w:pPr>
              <w:pStyle w:val="TableParagraph"/>
              <w:tabs>
                <w:tab w:val="left" w:pos="1559"/>
              </w:tabs>
              <w:spacing w:before="0"/>
              <w:ind w:left="92" w:right="107"/>
              <w:rPr>
                <w:b/>
                <w:sz w:val="20"/>
              </w:rPr>
            </w:pPr>
            <w:r>
              <w:rPr>
                <w:b/>
                <w:sz w:val="20"/>
              </w:rPr>
              <w:t>Clarification:</w:t>
            </w:r>
            <w:r>
              <w:rPr>
                <w:b/>
                <w:sz w:val="20"/>
              </w:rPr>
              <w:tab/>
              <w:t xml:space="preserve">Examples  of </w:t>
            </w:r>
            <w:r>
              <w:rPr>
                <w:b/>
                <w:spacing w:val="10"/>
                <w:sz w:val="20"/>
              </w:rPr>
              <w:t xml:space="preserve"> </w:t>
            </w:r>
            <w:r>
              <w:rPr>
                <w:b/>
                <w:sz w:val="20"/>
              </w:rPr>
              <w:t xml:space="preserve">special </w:t>
            </w:r>
            <w:r>
              <w:rPr>
                <w:b/>
                <w:spacing w:val="5"/>
                <w:sz w:val="20"/>
              </w:rPr>
              <w:t xml:space="preserve"> </w:t>
            </w:r>
            <w:r>
              <w:rPr>
                <w:b/>
                <w:sz w:val="20"/>
              </w:rPr>
              <w:t>conditions</w:t>
            </w:r>
            <w:r>
              <w:rPr>
                <w:b/>
                <w:spacing w:val="-1"/>
                <w:sz w:val="20"/>
              </w:rPr>
              <w:t xml:space="preserve"> </w:t>
            </w:r>
            <w:r>
              <w:rPr>
                <w:b/>
                <w:sz w:val="20"/>
              </w:rPr>
              <w:t>include: Elevated, Confined</w:t>
            </w:r>
            <w:r>
              <w:rPr>
                <w:b/>
                <w:spacing w:val="-12"/>
                <w:sz w:val="20"/>
              </w:rPr>
              <w:t xml:space="preserve"> </w:t>
            </w:r>
            <w:r>
              <w:rPr>
                <w:b/>
                <w:sz w:val="20"/>
              </w:rPr>
              <w:t>Space.</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4"/>
        </w:trPr>
        <w:tc>
          <w:tcPr>
            <w:tcW w:w="895" w:type="dxa"/>
          </w:tcPr>
          <w:p w:rsidR="00795935" w:rsidRDefault="001F4533">
            <w:pPr>
              <w:pStyle w:val="TableParagraph"/>
              <w:ind w:left="228" w:right="227"/>
              <w:jc w:val="center"/>
              <w:rPr>
                <w:sz w:val="20"/>
              </w:rPr>
            </w:pPr>
            <w:r>
              <w:rPr>
                <w:sz w:val="20"/>
              </w:rPr>
              <w:t>2.14</w:t>
            </w:r>
          </w:p>
        </w:tc>
        <w:tc>
          <w:tcPr>
            <w:tcW w:w="4862" w:type="dxa"/>
          </w:tcPr>
          <w:p w:rsidR="00795935" w:rsidRDefault="001F4533">
            <w:pPr>
              <w:pStyle w:val="TableParagraph"/>
              <w:ind w:right="110"/>
              <w:rPr>
                <w:sz w:val="20"/>
              </w:rPr>
            </w:pPr>
            <w:r>
              <w:rPr>
                <w:sz w:val="20"/>
              </w:rPr>
              <w:t>All IWPs include or reference all quality control and NDE requirements.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3"/>
        </w:trPr>
        <w:tc>
          <w:tcPr>
            <w:tcW w:w="895" w:type="dxa"/>
          </w:tcPr>
          <w:p w:rsidR="00795935" w:rsidRDefault="001F4533">
            <w:pPr>
              <w:pStyle w:val="TableParagraph"/>
              <w:ind w:left="228" w:right="227"/>
              <w:jc w:val="center"/>
              <w:rPr>
                <w:sz w:val="20"/>
              </w:rPr>
            </w:pPr>
            <w:r>
              <w:rPr>
                <w:sz w:val="20"/>
              </w:rPr>
              <w:t>2.15</w:t>
            </w:r>
          </w:p>
        </w:tc>
        <w:tc>
          <w:tcPr>
            <w:tcW w:w="4862" w:type="dxa"/>
          </w:tcPr>
          <w:p w:rsidR="00795935" w:rsidRDefault="001F4533">
            <w:pPr>
              <w:pStyle w:val="TableParagraph"/>
              <w:ind w:right="110"/>
              <w:rPr>
                <w:sz w:val="20"/>
              </w:rPr>
            </w:pPr>
            <w:r>
              <w:rPr>
                <w:sz w:val="20"/>
              </w:rPr>
              <w:t>Appropriate stakeholders have signed off on issued IWPs that constraints have been met.</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718"/>
        </w:trPr>
        <w:tc>
          <w:tcPr>
            <w:tcW w:w="895" w:type="dxa"/>
          </w:tcPr>
          <w:p w:rsidR="00795935" w:rsidRDefault="001F4533">
            <w:pPr>
              <w:pStyle w:val="TableParagraph"/>
              <w:spacing w:before="70"/>
              <w:ind w:left="228" w:right="227"/>
              <w:jc w:val="center"/>
              <w:rPr>
                <w:sz w:val="20"/>
              </w:rPr>
            </w:pPr>
            <w:r>
              <w:rPr>
                <w:sz w:val="20"/>
              </w:rPr>
              <w:t>2.16</w:t>
            </w:r>
          </w:p>
        </w:tc>
        <w:tc>
          <w:tcPr>
            <w:tcW w:w="4862" w:type="dxa"/>
          </w:tcPr>
          <w:p w:rsidR="00795935" w:rsidRDefault="001F4533">
            <w:pPr>
              <w:pStyle w:val="TableParagraph"/>
              <w:spacing w:before="70"/>
              <w:ind w:right="108"/>
              <w:jc w:val="both"/>
              <w:rPr>
                <w:sz w:val="20"/>
              </w:rPr>
            </w:pPr>
            <w:r>
              <w:rPr>
                <w:sz w:val="20"/>
              </w:rPr>
              <w:t>IWPs include or reference all major execution risk response plans.</w:t>
            </w:r>
          </w:p>
          <w:p w:rsidR="00795935" w:rsidRDefault="00795935">
            <w:pPr>
              <w:pStyle w:val="TableParagraph"/>
              <w:spacing w:before="1"/>
              <w:ind w:left="0"/>
              <w:rPr>
                <w:rFonts w:ascii="Times New Roman"/>
                <w:sz w:val="16"/>
              </w:rPr>
            </w:pPr>
          </w:p>
          <w:p w:rsidR="00795935" w:rsidRDefault="001F4533">
            <w:pPr>
              <w:pStyle w:val="TableParagraph"/>
              <w:spacing w:before="0"/>
              <w:jc w:val="both"/>
              <w:rPr>
                <w:b/>
                <w:sz w:val="20"/>
              </w:rPr>
            </w:pPr>
            <w:r>
              <w:rPr>
                <w:b/>
                <w:sz w:val="20"/>
              </w:rPr>
              <w:t>Clarification: The foreman is responsible</w:t>
            </w:r>
          </w:p>
          <w:p w:rsidR="00795935" w:rsidRDefault="001F4533">
            <w:pPr>
              <w:pStyle w:val="TableParagraph"/>
              <w:spacing w:before="0"/>
              <w:ind w:right="107"/>
              <w:jc w:val="both"/>
              <w:rPr>
                <w:b/>
                <w:sz w:val="20"/>
              </w:rPr>
            </w:pPr>
            <w:r>
              <w:rPr>
                <w:b/>
                <w:sz w:val="20"/>
              </w:rPr>
              <w:t>at the beginning of each shift to prepare a detailed Field Level Risk or Safety Task Analysis, specific to the site</w:t>
            </w:r>
            <w:r>
              <w:rPr>
                <w:b/>
                <w:spacing w:val="-23"/>
                <w:sz w:val="20"/>
              </w:rPr>
              <w:t xml:space="preserve"> </w:t>
            </w:r>
            <w:r>
              <w:rPr>
                <w:b/>
                <w:sz w:val="20"/>
              </w:rPr>
              <w:t>conditions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258"/>
        </w:trPr>
        <w:tc>
          <w:tcPr>
            <w:tcW w:w="895" w:type="dxa"/>
          </w:tcPr>
          <w:p w:rsidR="00795935" w:rsidRDefault="001F4533">
            <w:pPr>
              <w:pStyle w:val="TableParagraph"/>
              <w:ind w:left="227" w:right="227"/>
              <w:jc w:val="center"/>
              <w:rPr>
                <w:sz w:val="20"/>
              </w:rPr>
            </w:pPr>
            <w:r>
              <w:rPr>
                <w:sz w:val="20"/>
              </w:rPr>
              <w:t>2.17</w:t>
            </w:r>
          </w:p>
        </w:tc>
        <w:tc>
          <w:tcPr>
            <w:tcW w:w="4862" w:type="dxa"/>
          </w:tcPr>
          <w:p w:rsidR="00795935" w:rsidRDefault="001F4533">
            <w:pPr>
              <w:pStyle w:val="TableParagraph"/>
              <w:jc w:val="both"/>
              <w:rPr>
                <w:sz w:val="20"/>
              </w:rPr>
            </w:pPr>
            <w:r>
              <w:rPr>
                <w:sz w:val="20"/>
              </w:rPr>
              <w:t>All IWPs identify their interdependencies.</w:t>
            </w:r>
          </w:p>
          <w:p w:rsidR="00795935" w:rsidRDefault="00795935">
            <w:pPr>
              <w:pStyle w:val="TableParagraph"/>
              <w:spacing w:before="1"/>
              <w:ind w:left="0"/>
              <w:rPr>
                <w:rFonts w:ascii="Times New Roman"/>
                <w:sz w:val="16"/>
              </w:rPr>
            </w:pPr>
          </w:p>
          <w:p w:rsidR="00795935" w:rsidRDefault="001F4533">
            <w:pPr>
              <w:pStyle w:val="TableParagraph"/>
              <w:spacing w:before="0"/>
              <w:ind w:right="107"/>
              <w:jc w:val="both"/>
              <w:rPr>
                <w:b/>
                <w:sz w:val="20"/>
              </w:rPr>
            </w:pPr>
            <w:r>
              <w:rPr>
                <w:b/>
                <w:sz w:val="20"/>
              </w:rPr>
              <w:t>Clarification: Interdependencies refer to other IWPs that could impact the completion of this IWP; these could be from any discipline.</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4"/>
        </w:trPr>
        <w:tc>
          <w:tcPr>
            <w:tcW w:w="895" w:type="dxa"/>
          </w:tcPr>
          <w:p w:rsidR="00795935" w:rsidRDefault="001F4533">
            <w:pPr>
              <w:pStyle w:val="TableParagraph"/>
              <w:spacing w:before="70"/>
              <w:ind w:left="228" w:right="227"/>
              <w:jc w:val="center"/>
              <w:rPr>
                <w:sz w:val="20"/>
              </w:rPr>
            </w:pPr>
            <w:r>
              <w:rPr>
                <w:sz w:val="20"/>
              </w:rPr>
              <w:t>2.18</w:t>
            </w:r>
          </w:p>
        </w:tc>
        <w:tc>
          <w:tcPr>
            <w:tcW w:w="4862" w:type="dxa"/>
          </w:tcPr>
          <w:p w:rsidR="00795935" w:rsidRDefault="001F4533">
            <w:pPr>
              <w:pStyle w:val="TableParagraph"/>
              <w:spacing w:before="70"/>
              <w:ind w:right="110"/>
              <w:rPr>
                <w:sz w:val="20"/>
              </w:rPr>
            </w:pPr>
            <w:r>
              <w:rPr>
                <w:sz w:val="20"/>
              </w:rPr>
              <w:t>Issued IWP progress in the field is monitored on a daily basis by the planner.</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sectPr w:rsidR="00795935">
          <w:pgSz w:w="15840" w:h="12240" w:orient="landscape"/>
          <w:pgMar w:top="1460" w:right="0" w:bottom="880" w:left="2160" w:header="590" w:footer="689" w:gutter="0"/>
          <w:cols w:space="720"/>
        </w:sectPr>
      </w:pPr>
    </w:p>
    <w:p w:rsidR="00795935" w:rsidRDefault="00795935">
      <w:pPr>
        <w:pStyle w:val="BodyText"/>
        <w:rPr>
          <w:rFonts w:ascii="Times New Roman"/>
        </w:rPr>
      </w:pPr>
    </w:p>
    <w:p w:rsidR="00795935" w:rsidRDefault="00795935">
      <w:pPr>
        <w:pStyle w:val="BodyText"/>
        <w:spacing w:before="10" w:after="1"/>
        <w:rPr>
          <w:rFonts w:ascii="Times New Roman"/>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19"/>
      </w:tblGrid>
      <w:tr w:rsidR="00795935">
        <w:trPr>
          <w:trHeight w:hRule="exact" w:val="844"/>
        </w:trPr>
        <w:tc>
          <w:tcPr>
            <w:tcW w:w="895" w:type="dxa"/>
          </w:tcPr>
          <w:p w:rsidR="00795935" w:rsidRDefault="001F4533">
            <w:pPr>
              <w:pStyle w:val="TableParagraph"/>
              <w:ind w:left="228" w:right="227"/>
              <w:jc w:val="center"/>
              <w:rPr>
                <w:sz w:val="20"/>
              </w:rPr>
            </w:pPr>
            <w:r>
              <w:rPr>
                <w:sz w:val="20"/>
              </w:rPr>
              <w:t>2.19</w:t>
            </w:r>
          </w:p>
        </w:tc>
        <w:tc>
          <w:tcPr>
            <w:tcW w:w="4862" w:type="dxa"/>
          </w:tcPr>
          <w:p w:rsidR="00795935" w:rsidRDefault="00795935">
            <w:pPr>
              <w:pStyle w:val="TableParagraph"/>
              <w:spacing w:before="0"/>
              <w:ind w:left="0"/>
              <w:rPr>
                <w:rFonts w:ascii="Times New Roman"/>
                <w:sz w:val="26"/>
              </w:rPr>
            </w:pPr>
          </w:p>
          <w:p w:rsidR="00795935" w:rsidRDefault="001F4533">
            <w:pPr>
              <w:pStyle w:val="TableParagraph"/>
              <w:spacing w:before="0"/>
              <w:ind w:right="110"/>
              <w:rPr>
                <w:sz w:val="20"/>
              </w:rPr>
            </w:pPr>
            <w:r>
              <w:rPr>
                <w:sz w:val="20"/>
              </w:rPr>
              <w:t>assigned to key individuals for the correct close-out of an issued IWP.</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spacing w:before="70"/>
              <w:ind w:left="228" w:right="227"/>
              <w:jc w:val="center"/>
              <w:rPr>
                <w:sz w:val="20"/>
              </w:rPr>
            </w:pPr>
            <w:r>
              <w:rPr>
                <w:sz w:val="20"/>
              </w:rPr>
              <w:t>2.20</w:t>
            </w:r>
          </w:p>
        </w:tc>
        <w:tc>
          <w:tcPr>
            <w:tcW w:w="4862" w:type="dxa"/>
          </w:tcPr>
          <w:p w:rsidR="00795935" w:rsidRDefault="001F4533">
            <w:pPr>
              <w:pStyle w:val="TableParagraph"/>
              <w:spacing w:before="70"/>
              <w:ind w:right="108"/>
              <w:jc w:val="both"/>
              <w:rPr>
                <w:sz w:val="20"/>
              </w:rPr>
            </w:pPr>
            <w:r>
              <w:rPr>
                <w:sz w:val="20"/>
              </w:rPr>
              <w:t>Requirements for verification of as built quantities, man hours and redlines are communicated effectively for proper IWP close-out.</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5"/>
        </w:trPr>
        <w:tc>
          <w:tcPr>
            <w:tcW w:w="895" w:type="dxa"/>
          </w:tcPr>
          <w:p w:rsidR="00795935" w:rsidRDefault="001F4533">
            <w:pPr>
              <w:pStyle w:val="TableParagraph"/>
              <w:spacing w:before="70"/>
              <w:ind w:left="228" w:right="227"/>
              <w:jc w:val="center"/>
              <w:rPr>
                <w:sz w:val="20"/>
              </w:rPr>
            </w:pPr>
            <w:r>
              <w:rPr>
                <w:sz w:val="20"/>
              </w:rPr>
              <w:t>2.20</w:t>
            </w:r>
          </w:p>
        </w:tc>
        <w:tc>
          <w:tcPr>
            <w:tcW w:w="4862" w:type="dxa"/>
          </w:tcPr>
          <w:p w:rsidR="00795935" w:rsidRDefault="001F4533">
            <w:pPr>
              <w:pStyle w:val="TableParagraph"/>
              <w:spacing w:before="70"/>
              <w:ind w:right="107"/>
              <w:jc w:val="both"/>
              <w:rPr>
                <w:sz w:val="20"/>
              </w:rPr>
            </w:pPr>
            <w:r>
              <w:rPr>
                <w:sz w:val="20"/>
              </w:rPr>
              <w:t>Periodic audits are conducted to ensure the IWP close out process is working and is accurately collecting and validating planned versus actual data.</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3"/>
        </w:trPr>
        <w:tc>
          <w:tcPr>
            <w:tcW w:w="895" w:type="dxa"/>
          </w:tcPr>
          <w:p w:rsidR="00795935" w:rsidRDefault="001F4533">
            <w:pPr>
              <w:pStyle w:val="TableParagraph"/>
              <w:ind w:left="228" w:right="227"/>
              <w:jc w:val="center"/>
              <w:rPr>
                <w:sz w:val="20"/>
              </w:rPr>
            </w:pPr>
            <w:r>
              <w:rPr>
                <w:sz w:val="20"/>
              </w:rPr>
              <w:t>2.21</w:t>
            </w:r>
          </w:p>
        </w:tc>
        <w:tc>
          <w:tcPr>
            <w:tcW w:w="4862" w:type="dxa"/>
          </w:tcPr>
          <w:p w:rsidR="00795935" w:rsidRDefault="001F4533">
            <w:pPr>
              <w:pStyle w:val="TableParagraph"/>
              <w:ind w:right="107"/>
              <w:rPr>
                <w:sz w:val="20"/>
              </w:rPr>
            </w:pPr>
            <w:r>
              <w:rPr>
                <w:sz w:val="20"/>
              </w:rPr>
              <w:t>Lessons learned are being captured in the IWP close-out process.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2178"/>
        </w:trPr>
        <w:tc>
          <w:tcPr>
            <w:tcW w:w="895" w:type="dxa"/>
          </w:tcPr>
          <w:p w:rsidR="00795935" w:rsidRDefault="001F4533">
            <w:pPr>
              <w:pStyle w:val="TableParagraph"/>
              <w:spacing w:before="70"/>
              <w:ind w:left="228" w:right="227"/>
              <w:jc w:val="center"/>
              <w:rPr>
                <w:sz w:val="20"/>
              </w:rPr>
            </w:pPr>
            <w:r>
              <w:rPr>
                <w:sz w:val="20"/>
              </w:rPr>
              <w:t>2.22</w:t>
            </w:r>
          </w:p>
        </w:tc>
        <w:tc>
          <w:tcPr>
            <w:tcW w:w="4862" w:type="dxa"/>
          </w:tcPr>
          <w:p w:rsidR="00795935" w:rsidRDefault="001F4533">
            <w:pPr>
              <w:pStyle w:val="TableParagraph"/>
              <w:spacing w:before="70"/>
              <w:ind w:right="106"/>
              <w:jc w:val="both"/>
              <w:rPr>
                <w:sz w:val="20"/>
              </w:rPr>
            </w:pPr>
            <w:r>
              <w:rPr>
                <w:sz w:val="20"/>
              </w:rPr>
              <w:t>There are adequate controls to ensure all resources required to complete the IWP are identified and are available prior to construction mobilization, and in place before IWP release.</w:t>
            </w:r>
          </w:p>
          <w:p w:rsidR="00795935" w:rsidRDefault="00795935">
            <w:pPr>
              <w:pStyle w:val="TableParagraph"/>
              <w:spacing w:before="1"/>
              <w:ind w:left="0"/>
              <w:rPr>
                <w:rFonts w:ascii="Times New Roman"/>
                <w:sz w:val="16"/>
              </w:rPr>
            </w:pPr>
          </w:p>
          <w:p w:rsidR="00795935" w:rsidRDefault="001F4533">
            <w:pPr>
              <w:pStyle w:val="TableParagraph"/>
              <w:spacing w:before="0"/>
              <w:ind w:right="106"/>
              <w:jc w:val="both"/>
              <w:rPr>
                <w:b/>
                <w:sz w:val="20"/>
              </w:rPr>
            </w:pPr>
            <w:r>
              <w:rPr>
                <w:b/>
                <w:sz w:val="20"/>
              </w:rPr>
              <w:t>Clarification: Release refers to issuance by parties completing the IWP.</w:t>
            </w:r>
            <w:r>
              <w:rPr>
                <w:b/>
                <w:sz w:val="20"/>
              </w:rPr>
              <w:t xml:space="preserve"> Parties could include engineering, procurement, construction, or</w:t>
            </w:r>
            <w:r>
              <w:rPr>
                <w:b/>
                <w:spacing w:val="-13"/>
                <w:sz w:val="20"/>
              </w:rPr>
              <w:t xml:space="preserve"> </w:t>
            </w:r>
            <w:r>
              <w:rPr>
                <w:b/>
                <w:sz w:val="20"/>
              </w:rPr>
              <w:t>commissioning.</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948"/>
        </w:trPr>
        <w:tc>
          <w:tcPr>
            <w:tcW w:w="895" w:type="dxa"/>
          </w:tcPr>
          <w:p w:rsidR="00795935" w:rsidRDefault="001F4533">
            <w:pPr>
              <w:pStyle w:val="TableParagraph"/>
              <w:spacing w:before="70"/>
              <w:ind w:left="228" w:right="227"/>
              <w:jc w:val="center"/>
              <w:rPr>
                <w:sz w:val="20"/>
              </w:rPr>
            </w:pPr>
            <w:r>
              <w:rPr>
                <w:sz w:val="20"/>
              </w:rPr>
              <w:t>2.23</w:t>
            </w:r>
          </w:p>
        </w:tc>
        <w:tc>
          <w:tcPr>
            <w:tcW w:w="4862" w:type="dxa"/>
          </w:tcPr>
          <w:p w:rsidR="00795935" w:rsidRDefault="001F4533">
            <w:pPr>
              <w:pStyle w:val="TableParagraph"/>
              <w:spacing w:before="70"/>
              <w:ind w:right="109"/>
              <w:jc w:val="both"/>
              <w:rPr>
                <w:sz w:val="20"/>
              </w:rPr>
            </w:pPr>
            <w:r>
              <w:rPr>
                <w:sz w:val="20"/>
              </w:rPr>
              <w:t>Dedicated Planner completes IWP and signs-off as ready before IWP is released to crew.</w:t>
            </w:r>
          </w:p>
          <w:p w:rsidR="00795935" w:rsidRDefault="00795935">
            <w:pPr>
              <w:pStyle w:val="TableParagraph"/>
              <w:spacing w:before="1"/>
              <w:ind w:left="0"/>
              <w:rPr>
                <w:rFonts w:ascii="Times New Roman"/>
                <w:sz w:val="16"/>
              </w:rPr>
            </w:pPr>
          </w:p>
          <w:p w:rsidR="00795935" w:rsidRDefault="001F4533">
            <w:pPr>
              <w:pStyle w:val="TableParagraph"/>
              <w:spacing w:before="0"/>
              <w:ind w:right="106"/>
              <w:jc w:val="both"/>
              <w:rPr>
                <w:b/>
                <w:sz w:val="20"/>
              </w:rPr>
            </w:pPr>
            <w:r>
              <w:rPr>
                <w:b/>
                <w:sz w:val="20"/>
              </w:rPr>
              <w:t>Clarification: An IWP Checklist is discipline specific (civil, structural, piping, electrical, etc.) and itemizes all the information and documentation that should be part of the completed IWP.</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075"/>
        </w:trPr>
        <w:tc>
          <w:tcPr>
            <w:tcW w:w="895" w:type="dxa"/>
          </w:tcPr>
          <w:p w:rsidR="00795935" w:rsidRDefault="001F4533">
            <w:pPr>
              <w:pStyle w:val="TableParagraph"/>
              <w:spacing w:before="70"/>
              <w:ind w:left="228" w:right="227"/>
              <w:jc w:val="center"/>
              <w:rPr>
                <w:sz w:val="20"/>
              </w:rPr>
            </w:pPr>
            <w:r>
              <w:rPr>
                <w:sz w:val="20"/>
              </w:rPr>
              <w:t>2.24</w:t>
            </w:r>
          </w:p>
        </w:tc>
        <w:tc>
          <w:tcPr>
            <w:tcW w:w="4862" w:type="dxa"/>
          </w:tcPr>
          <w:p w:rsidR="00795935" w:rsidRDefault="001F4533">
            <w:pPr>
              <w:pStyle w:val="TableParagraph"/>
              <w:spacing w:before="70"/>
              <w:ind w:right="106"/>
              <w:jc w:val="both"/>
              <w:rPr>
                <w:sz w:val="20"/>
              </w:rPr>
            </w:pPr>
            <w:r>
              <w:rPr>
                <w:sz w:val="20"/>
              </w:rPr>
              <w:t>The General Area Superintendent has a sufficient backlog of IWPs that can be issued to replace a scheduled IWP delayed due to unforeseen circumstances.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sectPr w:rsidR="00795935">
          <w:pgSz w:w="15840" w:h="12240" w:orient="landscape"/>
          <w:pgMar w:top="1460" w:right="0" w:bottom="880" w:left="2160" w:header="590" w:footer="689" w:gutter="0"/>
          <w:cols w:space="720"/>
        </w:sectPr>
      </w:pPr>
    </w:p>
    <w:p w:rsidR="00795935" w:rsidRDefault="00795935">
      <w:pPr>
        <w:pStyle w:val="BodyText"/>
        <w:rPr>
          <w:rFonts w:ascii="Times New Roman"/>
        </w:rPr>
      </w:pPr>
    </w:p>
    <w:p w:rsidR="00795935" w:rsidRDefault="00795935">
      <w:pPr>
        <w:pStyle w:val="BodyText"/>
        <w:spacing w:before="10" w:after="1"/>
        <w:rPr>
          <w:rFonts w:ascii="Times New Roman"/>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19"/>
      </w:tblGrid>
      <w:tr w:rsidR="00795935">
        <w:trPr>
          <w:trHeight w:hRule="exact" w:val="1304"/>
        </w:trPr>
        <w:tc>
          <w:tcPr>
            <w:tcW w:w="895" w:type="dxa"/>
          </w:tcPr>
          <w:p w:rsidR="00795935" w:rsidRDefault="001F4533">
            <w:pPr>
              <w:pStyle w:val="TableParagraph"/>
              <w:ind w:left="248"/>
              <w:rPr>
                <w:sz w:val="20"/>
              </w:rPr>
            </w:pPr>
            <w:r>
              <w:rPr>
                <w:sz w:val="20"/>
              </w:rPr>
              <w:t>2.25</w:t>
            </w:r>
          </w:p>
        </w:tc>
        <w:tc>
          <w:tcPr>
            <w:tcW w:w="4862" w:type="dxa"/>
          </w:tcPr>
          <w:p w:rsidR="00795935" w:rsidRDefault="001F4533">
            <w:pPr>
              <w:pStyle w:val="TableParagraph"/>
              <w:ind w:right="107"/>
              <w:jc w:val="both"/>
              <w:rPr>
                <w:sz w:val="20"/>
              </w:rPr>
            </w:pPr>
            <w:r>
              <w:rPr>
                <w:sz w:val="20"/>
              </w:rPr>
              <w:t>The requirement for Work Face Planning, including the expectations of contractor/sub- contractor/planner and owner role and responsibilities, is written into all contracts and/or sub-contracts.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430"/>
        </w:trPr>
        <w:tc>
          <w:tcPr>
            <w:tcW w:w="895" w:type="dxa"/>
          </w:tcPr>
          <w:p w:rsidR="00795935" w:rsidRDefault="00795935"/>
        </w:tc>
        <w:tc>
          <w:tcPr>
            <w:tcW w:w="4862" w:type="dxa"/>
          </w:tcPr>
          <w:p w:rsidR="00795935" w:rsidRDefault="001F4533">
            <w:pPr>
              <w:pStyle w:val="TableParagraph"/>
              <w:ind w:right="110"/>
              <w:rPr>
                <w:sz w:val="24"/>
              </w:rPr>
            </w:pPr>
            <w:r>
              <w:rPr>
                <w:b/>
                <w:sz w:val="24"/>
              </w:rPr>
              <w:t xml:space="preserve">Section 2.0 Total </w:t>
            </w:r>
            <w:r>
              <w:rPr>
                <w:sz w:val="24"/>
              </w:rPr>
              <w:t>(out of 125)</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pStyle w:val="BodyText"/>
        <w:rPr>
          <w:rFonts w:ascii="Times New Roman"/>
        </w:rPr>
      </w:pPr>
    </w:p>
    <w:p w:rsidR="00795935" w:rsidRDefault="00795935">
      <w:pPr>
        <w:pStyle w:val="BodyText"/>
        <w:spacing w:before="6"/>
        <w:rPr>
          <w:rFonts w:ascii="Times New Roman"/>
          <w:sz w:val="16"/>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20"/>
      </w:tblGrid>
      <w:tr w:rsidR="00795935">
        <w:trPr>
          <w:trHeight w:hRule="exact" w:val="551"/>
        </w:trPr>
        <w:tc>
          <w:tcPr>
            <w:tcW w:w="895" w:type="dxa"/>
          </w:tcPr>
          <w:p w:rsidR="00795935" w:rsidRDefault="001F4533">
            <w:pPr>
              <w:pStyle w:val="TableParagraph"/>
              <w:spacing w:before="70"/>
              <w:ind w:left="275"/>
              <w:rPr>
                <w:b/>
                <w:sz w:val="24"/>
              </w:rPr>
            </w:pPr>
            <w:r>
              <w:rPr>
                <w:b/>
                <w:sz w:val="24"/>
              </w:rPr>
              <w:t>3.0</w:t>
            </w:r>
          </w:p>
        </w:tc>
        <w:tc>
          <w:tcPr>
            <w:tcW w:w="4862" w:type="dxa"/>
          </w:tcPr>
          <w:p w:rsidR="00795935" w:rsidRDefault="001F4533">
            <w:pPr>
              <w:pStyle w:val="TableParagraph"/>
              <w:spacing w:before="70"/>
              <w:ind w:right="110"/>
              <w:rPr>
                <w:b/>
                <w:sz w:val="24"/>
              </w:rPr>
            </w:pPr>
            <w:r>
              <w:rPr>
                <w:b/>
                <w:sz w:val="24"/>
              </w:rPr>
              <w:t>Planners</w:t>
            </w:r>
          </w:p>
        </w:tc>
        <w:tc>
          <w:tcPr>
            <w:tcW w:w="6482" w:type="dxa"/>
            <w:gridSpan w:val="6"/>
          </w:tcPr>
          <w:p w:rsidR="00795935" w:rsidRDefault="00795935"/>
        </w:tc>
      </w:tr>
      <w:tr w:rsidR="00795935">
        <w:trPr>
          <w:trHeight w:hRule="exact" w:val="1074"/>
        </w:trPr>
        <w:tc>
          <w:tcPr>
            <w:tcW w:w="895" w:type="dxa"/>
          </w:tcPr>
          <w:p w:rsidR="00795935" w:rsidRDefault="001F4533">
            <w:pPr>
              <w:pStyle w:val="TableParagraph"/>
              <w:spacing w:before="70"/>
              <w:ind w:left="303"/>
              <w:rPr>
                <w:sz w:val="20"/>
              </w:rPr>
            </w:pPr>
            <w:r>
              <w:rPr>
                <w:sz w:val="20"/>
              </w:rPr>
              <w:t>3.1</w:t>
            </w:r>
          </w:p>
        </w:tc>
        <w:tc>
          <w:tcPr>
            <w:tcW w:w="4862" w:type="dxa"/>
          </w:tcPr>
          <w:p w:rsidR="00795935" w:rsidRDefault="001F4533">
            <w:pPr>
              <w:pStyle w:val="TableParagraph"/>
              <w:spacing w:before="70"/>
              <w:ind w:right="110"/>
              <w:rPr>
                <w:sz w:val="20"/>
              </w:rPr>
            </w:pPr>
            <w:r>
              <w:rPr>
                <w:sz w:val="20"/>
              </w:rPr>
              <w:t>Dedicated planner(s) develop the Field IWP.</w:t>
            </w:r>
          </w:p>
          <w:p w:rsidR="00795935" w:rsidRDefault="00795935">
            <w:pPr>
              <w:pStyle w:val="TableParagraph"/>
              <w:spacing w:before="0"/>
              <w:ind w:left="0"/>
              <w:rPr>
                <w:rFonts w:ascii="Times New Roman"/>
                <w:sz w:val="20"/>
              </w:rPr>
            </w:pPr>
          </w:p>
          <w:p w:rsidR="00795935" w:rsidRDefault="001F4533">
            <w:pPr>
              <w:pStyle w:val="TableParagraph"/>
              <w:tabs>
                <w:tab w:val="left" w:pos="1697"/>
              </w:tabs>
              <w:spacing w:before="1"/>
              <w:ind w:right="106"/>
              <w:rPr>
                <w:b/>
                <w:sz w:val="20"/>
              </w:rPr>
            </w:pPr>
            <w:r>
              <w:rPr>
                <w:b/>
                <w:sz w:val="20"/>
              </w:rPr>
              <w:t>Clarification:</w:t>
            </w:r>
            <w:r>
              <w:rPr>
                <w:b/>
                <w:sz w:val="20"/>
              </w:rPr>
              <w:tab/>
              <w:t xml:space="preserve">A   dedicated  </w:t>
            </w:r>
            <w:r>
              <w:rPr>
                <w:b/>
                <w:spacing w:val="25"/>
                <w:sz w:val="20"/>
              </w:rPr>
              <w:t xml:space="preserve"> </w:t>
            </w:r>
            <w:r>
              <w:rPr>
                <w:b/>
                <w:sz w:val="20"/>
              </w:rPr>
              <w:t xml:space="preserve">planner  </w:t>
            </w:r>
            <w:r>
              <w:rPr>
                <w:b/>
                <w:spacing w:val="13"/>
                <w:sz w:val="20"/>
              </w:rPr>
              <w:t xml:space="preserve"> </w:t>
            </w:r>
            <w:r>
              <w:rPr>
                <w:b/>
                <w:sz w:val="20"/>
              </w:rPr>
              <w:t>spends</w:t>
            </w:r>
            <w:r>
              <w:rPr>
                <w:b/>
                <w:sz w:val="20"/>
              </w:rPr>
              <w:t xml:space="preserve"> </w:t>
            </w:r>
            <w:r>
              <w:rPr>
                <w:b/>
                <w:sz w:val="20"/>
              </w:rPr>
              <w:t>virtually all of their time developing</w:t>
            </w:r>
            <w:r>
              <w:rPr>
                <w:b/>
                <w:spacing w:val="-22"/>
                <w:sz w:val="20"/>
              </w:rPr>
              <w:t xml:space="preserve"> </w:t>
            </w:r>
            <w:r>
              <w:rPr>
                <w:b/>
                <w:sz w:val="20"/>
              </w:rPr>
              <w:t>IWPs.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5"/>
        </w:trPr>
        <w:tc>
          <w:tcPr>
            <w:tcW w:w="895" w:type="dxa"/>
          </w:tcPr>
          <w:p w:rsidR="00795935" w:rsidRDefault="001F4533">
            <w:pPr>
              <w:pStyle w:val="TableParagraph"/>
              <w:spacing w:before="70"/>
              <w:ind w:left="303"/>
              <w:rPr>
                <w:sz w:val="20"/>
              </w:rPr>
            </w:pPr>
            <w:r>
              <w:rPr>
                <w:sz w:val="20"/>
              </w:rPr>
              <w:t>3.2</w:t>
            </w:r>
          </w:p>
        </w:tc>
        <w:tc>
          <w:tcPr>
            <w:tcW w:w="4862" w:type="dxa"/>
          </w:tcPr>
          <w:p w:rsidR="00795935" w:rsidRDefault="001F4533">
            <w:pPr>
              <w:pStyle w:val="TableParagraph"/>
              <w:spacing w:before="70"/>
              <w:ind w:right="107"/>
              <w:jc w:val="both"/>
              <w:rPr>
                <w:sz w:val="20"/>
              </w:rPr>
            </w:pPr>
            <w:r>
              <w:rPr>
                <w:sz w:val="20"/>
              </w:rPr>
              <w:t>All dedicated planners have the experience as described in the job description developed during  the FEED</w:t>
            </w:r>
            <w:r>
              <w:rPr>
                <w:spacing w:val="-2"/>
                <w:sz w:val="20"/>
              </w:rPr>
              <w:t xml:space="preserve"> </w:t>
            </w:r>
            <w:r>
              <w:rPr>
                <w:sz w:val="20"/>
              </w:rPr>
              <w:t>phase.</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ind w:left="303"/>
              <w:rPr>
                <w:sz w:val="20"/>
              </w:rPr>
            </w:pPr>
            <w:r>
              <w:rPr>
                <w:sz w:val="20"/>
              </w:rPr>
              <w:t>3.3</w:t>
            </w:r>
          </w:p>
        </w:tc>
        <w:tc>
          <w:tcPr>
            <w:tcW w:w="4862" w:type="dxa"/>
          </w:tcPr>
          <w:p w:rsidR="00795935" w:rsidRDefault="001F4533">
            <w:pPr>
              <w:pStyle w:val="TableParagraph"/>
              <w:ind w:right="106"/>
              <w:jc w:val="both"/>
              <w:rPr>
                <w:sz w:val="20"/>
              </w:rPr>
            </w:pPr>
            <w:r>
              <w:rPr>
                <w:sz w:val="20"/>
              </w:rPr>
              <w:t>Dedicated planners are on the distribution list for all project documentation or have access to the latest information required for preparation of IWPs.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3"/>
        </w:trPr>
        <w:tc>
          <w:tcPr>
            <w:tcW w:w="895" w:type="dxa"/>
          </w:tcPr>
          <w:p w:rsidR="00795935" w:rsidRDefault="001F4533">
            <w:pPr>
              <w:pStyle w:val="TableParagraph"/>
              <w:ind w:left="303"/>
              <w:rPr>
                <w:sz w:val="20"/>
              </w:rPr>
            </w:pPr>
            <w:r>
              <w:rPr>
                <w:sz w:val="20"/>
              </w:rPr>
              <w:t>3.4</w:t>
            </w:r>
          </w:p>
        </w:tc>
        <w:tc>
          <w:tcPr>
            <w:tcW w:w="4862" w:type="dxa"/>
          </w:tcPr>
          <w:p w:rsidR="00795935" w:rsidRDefault="001F4533">
            <w:pPr>
              <w:pStyle w:val="TableParagraph"/>
              <w:ind w:right="110"/>
              <w:rPr>
                <w:sz w:val="20"/>
              </w:rPr>
            </w:pPr>
            <w:r>
              <w:rPr>
                <w:sz w:val="20"/>
              </w:rPr>
              <w:t>Work processes have been established to ensure planners have access to the latest information.</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4"/>
        </w:trPr>
        <w:tc>
          <w:tcPr>
            <w:tcW w:w="895" w:type="dxa"/>
          </w:tcPr>
          <w:p w:rsidR="00795935" w:rsidRDefault="001F4533">
            <w:pPr>
              <w:pStyle w:val="TableParagraph"/>
              <w:spacing w:before="70"/>
              <w:ind w:left="303"/>
              <w:rPr>
                <w:sz w:val="20"/>
              </w:rPr>
            </w:pPr>
            <w:r>
              <w:rPr>
                <w:sz w:val="20"/>
              </w:rPr>
              <w:t>3.5</w:t>
            </w:r>
          </w:p>
        </w:tc>
        <w:tc>
          <w:tcPr>
            <w:tcW w:w="4862" w:type="dxa"/>
          </w:tcPr>
          <w:p w:rsidR="00795935" w:rsidRDefault="001F4533">
            <w:pPr>
              <w:pStyle w:val="TableParagraph"/>
              <w:spacing w:before="70"/>
              <w:ind w:right="110"/>
              <w:rPr>
                <w:sz w:val="20"/>
              </w:rPr>
            </w:pPr>
            <w:r>
              <w:rPr>
                <w:sz w:val="20"/>
              </w:rPr>
              <w:t>The information provided to the dedicated planners is clear and complete.</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430"/>
        </w:trPr>
        <w:tc>
          <w:tcPr>
            <w:tcW w:w="895" w:type="dxa"/>
          </w:tcPr>
          <w:p w:rsidR="00795935" w:rsidRDefault="00795935"/>
        </w:tc>
        <w:tc>
          <w:tcPr>
            <w:tcW w:w="4862" w:type="dxa"/>
          </w:tcPr>
          <w:p w:rsidR="00795935" w:rsidRDefault="001F4533">
            <w:pPr>
              <w:pStyle w:val="TableParagraph"/>
              <w:ind w:right="110"/>
              <w:rPr>
                <w:sz w:val="24"/>
              </w:rPr>
            </w:pPr>
            <w:r>
              <w:rPr>
                <w:b/>
                <w:sz w:val="24"/>
              </w:rPr>
              <w:t xml:space="preserve">Section 3.0 Total </w:t>
            </w:r>
            <w:r>
              <w:rPr>
                <w:sz w:val="24"/>
              </w:rPr>
              <w:t>(out of 25)</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sectPr w:rsidR="00795935">
          <w:pgSz w:w="15840" w:h="12240" w:orient="landscape"/>
          <w:pgMar w:top="1460" w:right="0" w:bottom="880" w:left="2160" w:header="590" w:footer="689" w:gutter="0"/>
          <w:cols w:space="720"/>
        </w:sectPr>
      </w:pPr>
    </w:p>
    <w:p w:rsidR="00795935" w:rsidRDefault="00795935">
      <w:pPr>
        <w:pStyle w:val="BodyText"/>
        <w:rPr>
          <w:rFonts w:ascii="Times New Roman"/>
        </w:rPr>
      </w:pPr>
    </w:p>
    <w:p w:rsidR="00795935" w:rsidRDefault="00795935">
      <w:pPr>
        <w:pStyle w:val="BodyText"/>
        <w:spacing w:before="10" w:after="1"/>
        <w:rPr>
          <w:rFonts w:ascii="Times New Roman"/>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20"/>
      </w:tblGrid>
      <w:tr w:rsidR="00795935">
        <w:trPr>
          <w:trHeight w:hRule="exact" w:val="430"/>
        </w:trPr>
        <w:tc>
          <w:tcPr>
            <w:tcW w:w="895" w:type="dxa"/>
          </w:tcPr>
          <w:p w:rsidR="00795935" w:rsidRDefault="001F4533">
            <w:pPr>
              <w:pStyle w:val="TableParagraph"/>
              <w:spacing w:before="70"/>
              <w:ind w:left="275"/>
              <w:rPr>
                <w:b/>
                <w:sz w:val="24"/>
              </w:rPr>
            </w:pPr>
            <w:r>
              <w:rPr>
                <w:b/>
                <w:sz w:val="24"/>
              </w:rPr>
              <w:t>4.0</w:t>
            </w:r>
          </w:p>
        </w:tc>
        <w:tc>
          <w:tcPr>
            <w:tcW w:w="4862" w:type="dxa"/>
          </w:tcPr>
          <w:p w:rsidR="00795935" w:rsidRDefault="001F4533">
            <w:pPr>
              <w:pStyle w:val="TableParagraph"/>
              <w:spacing w:before="70"/>
              <w:ind w:right="110"/>
              <w:rPr>
                <w:b/>
                <w:sz w:val="24"/>
              </w:rPr>
            </w:pPr>
            <w:r>
              <w:rPr>
                <w:b/>
                <w:sz w:val="24"/>
              </w:rPr>
              <w:t>EWP/CWP Release Plan and Approvals</w:t>
            </w:r>
          </w:p>
        </w:tc>
        <w:tc>
          <w:tcPr>
            <w:tcW w:w="6482" w:type="dxa"/>
            <w:gridSpan w:val="6"/>
          </w:tcPr>
          <w:p w:rsidR="00795935" w:rsidRDefault="00795935"/>
        </w:tc>
      </w:tr>
      <w:tr w:rsidR="00795935">
        <w:trPr>
          <w:trHeight w:hRule="exact" w:val="3098"/>
        </w:trPr>
        <w:tc>
          <w:tcPr>
            <w:tcW w:w="895" w:type="dxa"/>
          </w:tcPr>
          <w:p w:rsidR="00795935" w:rsidRDefault="001F4533">
            <w:pPr>
              <w:pStyle w:val="TableParagraph"/>
              <w:spacing w:before="70"/>
              <w:ind w:left="303"/>
              <w:rPr>
                <w:sz w:val="20"/>
              </w:rPr>
            </w:pPr>
            <w:r>
              <w:rPr>
                <w:sz w:val="20"/>
              </w:rPr>
              <w:t>4.1</w:t>
            </w:r>
          </w:p>
        </w:tc>
        <w:tc>
          <w:tcPr>
            <w:tcW w:w="4862" w:type="dxa"/>
          </w:tcPr>
          <w:p w:rsidR="00795935" w:rsidRDefault="001F4533">
            <w:pPr>
              <w:pStyle w:val="TableParagraph"/>
              <w:spacing w:before="70"/>
              <w:ind w:right="106"/>
              <w:jc w:val="both"/>
              <w:rPr>
                <w:sz w:val="20"/>
              </w:rPr>
            </w:pPr>
            <w:r>
              <w:rPr>
                <w:sz w:val="20"/>
              </w:rPr>
              <w:t>A schedule is developed, prior to the start of detailed engineering, for all Construction and Engineering Work Packages (CWP/EWP), required to maintain the agreed path of construction and the Engineering and Procurement sequence to support the construction</w:t>
            </w:r>
            <w:r>
              <w:rPr>
                <w:spacing w:val="-11"/>
                <w:sz w:val="20"/>
              </w:rPr>
              <w:t xml:space="preserve"> </w:t>
            </w:r>
            <w:r>
              <w:rPr>
                <w:sz w:val="20"/>
              </w:rPr>
              <w:t>plan.</w:t>
            </w:r>
          </w:p>
          <w:p w:rsidR="00795935" w:rsidRDefault="00795935">
            <w:pPr>
              <w:pStyle w:val="TableParagraph"/>
              <w:spacing w:before="1"/>
              <w:ind w:left="0"/>
              <w:rPr>
                <w:rFonts w:ascii="Times New Roman"/>
                <w:sz w:val="16"/>
              </w:rPr>
            </w:pPr>
          </w:p>
          <w:p w:rsidR="00795935" w:rsidRDefault="001F4533">
            <w:pPr>
              <w:pStyle w:val="TableParagraph"/>
              <w:spacing w:before="0"/>
              <w:ind w:right="106"/>
              <w:jc w:val="both"/>
              <w:rPr>
                <w:b/>
                <w:sz w:val="20"/>
              </w:rPr>
            </w:pPr>
            <w:r>
              <w:rPr>
                <w:b/>
                <w:sz w:val="20"/>
              </w:rPr>
              <w:t>Clarification: The  work  breakdown  structure for a specific design area consists of a series of EWPs/CWPs by discipline and sub-area. The schedule for release of EWPs/CWPs is determined by the priority of the process systems and the required path</w:t>
            </w:r>
            <w:r>
              <w:rPr>
                <w:b/>
                <w:sz w:val="20"/>
              </w:rPr>
              <w:t xml:space="preserve"> of</w:t>
            </w:r>
            <w:r>
              <w:rPr>
                <w:b/>
                <w:spacing w:val="-21"/>
                <w:sz w:val="20"/>
              </w:rPr>
              <w:t xml:space="preserve"> </w:t>
            </w:r>
            <w:r>
              <w:rPr>
                <w:b/>
                <w:sz w:val="20"/>
              </w:rPr>
              <w:t>construction.</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ind w:left="303"/>
              <w:rPr>
                <w:sz w:val="20"/>
              </w:rPr>
            </w:pPr>
            <w:r>
              <w:rPr>
                <w:sz w:val="20"/>
              </w:rPr>
              <w:t>4.2</w:t>
            </w:r>
          </w:p>
        </w:tc>
        <w:tc>
          <w:tcPr>
            <w:tcW w:w="4862" w:type="dxa"/>
          </w:tcPr>
          <w:p w:rsidR="00795935" w:rsidRDefault="001F4533">
            <w:pPr>
              <w:pStyle w:val="TableParagraph"/>
              <w:ind w:right="105"/>
              <w:jc w:val="both"/>
              <w:rPr>
                <w:sz w:val="20"/>
              </w:rPr>
            </w:pPr>
            <w:r>
              <w:rPr>
                <w:sz w:val="20"/>
              </w:rPr>
              <w:t>Experienced construction personnel approve the schedule, scope, sequence, and timing of EWPs/CWPs.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430"/>
        </w:trPr>
        <w:tc>
          <w:tcPr>
            <w:tcW w:w="895" w:type="dxa"/>
          </w:tcPr>
          <w:p w:rsidR="00795935" w:rsidRDefault="00795935"/>
        </w:tc>
        <w:tc>
          <w:tcPr>
            <w:tcW w:w="4862" w:type="dxa"/>
          </w:tcPr>
          <w:p w:rsidR="00795935" w:rsidRDefault="001F4533">
            <w:pPr>
              <w:pStyle w:val="TableParagraph"/>
              <w:ind w:right="110"/>
              <w:rPr>
                <w:sz w:val="24"/>
              </w:rPr>
            </w:pPr>
            <w:r>
              <w:rPr>
                <w:b/>
                <w:sz w:val="24"/>
              </w:rPr>
              <w:t xml:space="preserve">Section 4.0 Total </w:t>
            </w:r>
            <w:r>
              <w:rPr>
                <w:sz w:val="24"/>
              </w:rPr>
              <w:t>(out of 10)</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pStyle w:val="BodyText"/>
        <w:rPr>
          <w:rFonts w:ascii="Times New Roman"/>
        </w:rPr>
      </w:pPr>
    </w:p>
    <w:p w:rsidR="00795935" w:rsidRDefault="00795935">
      <w:pPr>
        <w:pStyle w:val="BodyText"/>
        <w:spacing w:before="7"/>
        <w:rPr>
          <w:rFonts w:ascii="Times New Roman"/>
          <w:sz w:val="16"/>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20"/>
      </w:tblGrid>
      <w:tr w:rsidR="00795935">
        <w:trPr>
          <w:trHeight w:hRule="exact" w:val="430"/>
        </w:trPr>
        <w:tc>
          <w:tcPr>
            <w:tcW w:w="895" w:type="dxa"/>
          </w:tcPr>
          <w:p w:rsidR="00795935" w:rsidRDefault="001F4533">
            <w:pPr>
              <w:pStyle w:val="TableParagraph"/>
              <w:spacing w:before="70"/>
              <w:ind w:left="275"/>
              <w:rPr>
                <w:b/>
                <w:sz w:val="24"/>
              </w:rPr>
            </w:pPr>
            <w:r>
              <w:rPr>
                <w:b/>
                <w:sz w:val="24"/>
              </w:rPr>
              <w:t>5.0</w:t>
            </w:r>
          </w:p>
        </w:tc>
        <w:tc>
          <w:tcPr>
            <w:tcW w:w="4862" w:type="dxa"/>
          </w:tcPr>
          <w:p w:rsidR="00795935" w:rsidRDefault="001F4533">
            <w:pPr>
              <w:pStyle w:val="TableParagraph"/>
              <w:spacing w:before="70"/>
              <w:ind w:right="110"/>
              <w:rPr>
                <w:b/>
                <w:sz w:val="24"/>
              </w:rPr>
            </w:pPr>
            <w:r>
              <w:rPr>
                <w:b/>
                <w:sz w:val="24"/>
              </w:rPr>
              <w:t>IWP Release Plan and Approvals</w:t>
            </w:r>
          </w:p>
        </w:tc>
        <w:tc>
          <w:tcPr>
            <w:tcW w:w="6482" w:type="dxa"/>
            <w:gridSpan w:val="6"/>
          </w:tcPr>
          <w:p w:rsidR="00795935" w:rsidRDefault="00795935"/>
        </w:tc>
      </w:tr>
      <w:tr w:rsidR="00795935">
        <w:trPr>
          <w:trHeight w:hRule="exact" w:val="614"/>
        </w:trPr>
        <w:tc>
          <w:tcPr>
            <w:tcW w:w="895" w:type="dxa"/>
          </w:tcPr>
          <w:p w:rsidR="00795935" w:rsidRDefault="001F4533">
            <w:pPr>
              <w:pStyle w:val="TableParagraph"/>
              <w:ind w:left="303"/>
              <w:rPr>
                <w:sz w:val="20"/>
              </w:rPr>
            </w:pPr>
            <w:r>
              <w:rPr>
                <w:sz w:val="20"/>
              </w:rPr>
              <w:t>5.1</w:t>
            </w:r>
          </w:p>
        </w:tc>
        <w:tc>
          <w:tcPr>
            <w:tcW w:w="4862" w:type="dxa"/>
          </w:tcPr>
          <w:p w:rsidR="00795935" w:rsidRDefault="001F4533">
            <w:pPr>
              <w:pStyle w:val="TableParagraph"/>
              <w:ind w:right="110"/>
              <w:rPr>
                <w:sz w:val="20"/>
              </w:rPr>
            </w:pPr>
            <w:r>
              <w:rPr>
                <w:sz w:val="20"/>
              </w:rPr>
              <w:t>A schedule and release plan is developed for all Field IWPs, based on the CWP.</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ind w:left="303"/>
              <w:rPr>
                <w:sz w:val="20"/>
              </w:rPr>
            </w:pPr>
            <w:r>
              <w:rPr>
                <w:sz w:val="20"/>
              </w:rPr>
              <w:t>5.2</w:t>
            </w:r>
          </w:p>
        </w:tc>
        <w:tc>
          <w:tcPr>
            <w:tcW w:w="4862" w:type="dxa"/>
          </w:tcPr>
          <w:p w:rsidR="00795935" w:rsidRDefault="001F4533">
            <w:pPr>
              <w:pStyle w:val="TableParagraph"/>
              <w:ind w:right="106"/>
              <w:jc w:val="both"/>
              <w:rPr>
                <w:sz w:val="20"/>
              </w:rPr>
            </w:pPr>
            <w:r>
              <w:rPr>
                <w:sz w:val="20"/>
              </w:rPr>
              <w:t>General foremen, planners, and construction superintendents review and agree to the schedule, scope, sequence, and timing of the IWP.</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4"/>
        </w:trPr>
        <w:tc>
          <w:tcPr>
            <w:tcW w:w="895" w:type="dxa"/>
          </w:tcPr>
          <w:p w:rsidR="00795935" w:rsidRDefault="001F4533">
            <w:pPr>
              <w:pStyle w:val="TableParagraph"/>
              <w:ind w:left="303"/>
              <w:rPr>
                <w:sz w:val="20"/>
              </w:rPr>
            </w:pPr>
            <w:r>
              <w:rPr>
                <w:sz w:val="20"/>
              </w:rPr>
              <w:t>5.3</w:t>
            </w:r>
          </w:p>
        </w:tc>
        <w:tc>
          <w:tcPr>
            <w:tcW w:w="4862" w:type="dxa"/>
          </w:tcPr>
          <w:p w:rsidR="00795935" w:rsidRDefault="001F4533">
            <w:pPr>
              <w:pStyle w:val="TableParagraph"/>
              <w:ind w:right="106"/>
              <w:jc w:val="both"/>
              <w:rPr>
                <w:sz w:val="20"/>
              </w:rPr>
            </w:pPr>
            <w:r>
              <w:rPr>
                <w:sz w:val="20"/>
              </w:rPr>
              <w:t>Final approval by Construction superintendent (or their designate) of the schedule, scope, sequence, and timing of the IWP.</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431"/>
        </w:trPr>
        <w:tc>
          <w:tcPr>
            <w:tcW w:w="895" w:type="dxa"/>
          </w:tcPr>
          <w:p w:rsidR="00795935" w:rsidRDefault="00795935"/>
        </w:tc>
        <w:tc>
          <w:tcPr>
            <w:tcW w:w="4862" w:type="dxa"/>
          </w:tcPr>
          <w:p w:rsidR="00795935" w:rsidRDefault="001F4533">
            <w:pPr>
              <w:pStyle w:val="TableParagraph"/>
              <w:ind w:right="110"/>
              <w:rPr>
                <w:sz w:val="24"/>
              </w:rPr>
            </w:pPr>
            <w:r>
              <w:rPr>
                <w:b/>
                <w:sz w:val="24"/>
              </w:rPr>
              <w:t xml:space="preserve">Section 5.0 Total </w:t>
            </w:r>
            <w:r>
              <w:rPr>
                <w:sz w:val="24"/>
              </w:rPr>
              <w:t>(out of 15)</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sectPr w:rsidR="00795935">
          <w:pgSz w:w="15840" w:h="12240" w:orient="landscape"/>
          <w:pgMar w:top="1460" w:right="0" w:bottom="880" w:left="2160" w:header="590" w:footer="689" w:gutter="0"/>
          <w:cols w:space="720"/>
        </w:sectPr>
      </w:pPr>
    </w:p>
    <w:p w:rsidR="00795935" w:rsidRDefault="00795935">
      <w:pPr>
        <w:pStyle w:val="BodyText"/>
        <w:rPr>
          <w:rFonts w:ascii="Times New Roman"/>
        </w:rPr>
      </w:pPr>
    </w:p>
    <w:p w:rsidR="00795935" w:rsidRDefault="00795935">
      <w:pPr>
        <w:pStyle w:val="BodyText"/>
        <w:spacing w:before="10"/>
        <w:rPr>
          <w:rFonts w:ascii="Times New Roman"/>
          <w:sz w:val="28"/>
        </w:rPr>
      </w:pPr>
    </w:p>
    <w:p w:rsidR="00795935" w:rsidRDefault="001F4533">
      <w:pPr>
        <w:pStyle w:val="BodyText"/>
        <w:spacing w:line="20" w:lineRule="exact"/>
        <w:ind w:left="200"/>
        <w:rPr>
          <w:rFonts w:ascii="Times New Roman"/>
          <w:sz w:val="2"/>
        </w:rPr>
      </w:pPr>
      <w:r>
        <w:rPr>
          <w:rFonts w:ascii="Times New Roman"/>
          <w:sz w:val="2"/>
        </w:rPr>
      </w:r>
      <w:r>
        <w:rPr>
          <w:rFonts w:ascii="Times New Roman"/>
          <w:sz w:val="2"/>
        </w:rPr>
        <w:pict>
          <v:group id="_x0000_s2050" style="width:612.5pt;height:.5pt;mso-position-horizontal-relative:char;mso-position-vertical-relative:line" coordsize="12250,10">
            <v:line id="_x0000_s2052" style="position:absolute" from="5,5" to="8935,5" strokeweight=".48pt"/>
            <v:line id="_x0000_s2051" style="position:absolute" from="8935,5" to="12245,5" strokeweight=".48pt"/>
            <w10:anchorlock/>
          </v:group>
        </w:pict>
      </w:r>
    </w:p>
    <w:p w:rsidR="00795935" w:rsidRDefault="00795935">
      <w:pPr>
        <w:pStyle w:val="BodyText"/>
        <w:rPr>
          <w:rFonts w:ascii="Times New Roman"/>
        </w:rPr>
      </w:pPr>
    </w:p>
    <w:p w:rsidR="00795935" w:rsidRDefault="00795935">
      <w:pPr>
        <w:pStyle w:val="BodyText"/>
        <w:spacing w:before="7"/>
        <w:rPr>
          <w:rFonts w:ascii="Times New Roman"/>
          <w:sz w:val="15"/>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20"/>
      </w:tblGrid>
      <w:tr w:rsidR="00795935">
        <w:trPr>
          <w:trHeight w:hRule="exact" w:val="431"/>
        </w:trPr>
        <w:tc>
          <w:tcPr>
            <w:tcW w:w="895" w:type="dxa"/>
          </w:tcPr>
          <w:p w:rsidR="00795935" w:rsidRDefault="001F4533">
            <w:pPr>
              <w:pStyle w:val="TableParagraph"/>
              <w:spacing w:before="71"/>
              <w:ind w:left="275"/>
              <w:rPr>
                <w:b/>
                <w:sz w:val="24"/>
              </w:rPr>
            </w:pPr>
            <w:r>
              <w:rPr>
                <w:b/>
                <w:sz w:val="24"/>
              </w:rPr>
              <w:t>6.0</w:t>
            </w:r>
          </w:p>
        </w:tc>
        <w:tc>
          <w:tcPr>
            <w:tcW w:w="4862" w:type="dxa"/>
          </w:tcPr>
          <w:p w:rsidR="00795935" w:rsidRDefault="001F4533">
            <w:pPr>
              <w:pStyle w:val="TableParagraph"/>
              <w:spacing w:before="71"/>
              <w:ind w:right="110"/>
              <w:rPr>
                <w:b/>
                <w:sz w:val="24"/>
              </w:rPr>
            </w:pPr>
            <w:r>
              <w:rPr>
                <w:b/>
                <w:sz w:val="24"/>
              </w:rPr>
              <w:t>Integration and Coordination of IWP</w:t>
            </w:r>
          </w:p>
        </w:tc>
        <w:tc>
          <w:tcPr>
            <w:tcW w:w="6482" w:type="dxa"/>
            <w:gridSpan w:val="6"/>
          </w:tcPr>
          <w:p w:rsidR="00795935" w:rsidRDefault="00795935"/>
        </w:tc>
      </w:tr>
      <w:tr w:rsidR="00795935">
        <w:trPr>
          <w:trHeight w:hRule="exact" w:val="844"/>
        </w:trPr>
        <w:tc>
          <w:tcPr>
            <w:tcW w:w="895" w:type="dxa"/>
          </w:tcPr>
          <w:p w:rsidR="00795935" w:rsidRDefault="001F4533">
            <w:pPr>
              <w:pStyle w:val="TableParagraph"/>
              <w:ind w:left="303"/>
              <w:rPr>
                <w:sz w:val="20"/>
              </w:rPr>
            </w:pPr>
            <w:r>
              <w:rPr>
                <w:sz w:val="20"/>
              </w:rPr>
              <w:t>6.1</w:t>
            </w:r>
          </w:p>
        </w:tc>
        <w:tc>
          <w:tcPr>
            <w:tcW w:w="4862" w:type="dxa"/>
          </w:tcPr>
          <w:p w:rsidR="00795935" w:rsidRDefault="001F4533">
            <w:pPr>
              <w:pStyle w:val="TableParagraph"/>
              <w:ind w:right="108" w:hanging="1"/>
              <w:jc w:val="both"/>
              <w:rPr>
                <w:sz w:val="20"/>
              </w:rPr>
            </w:pPr>
            <w:r>
              <w:rPr>
                <w:sz w:val="20"/>
              </w:rPr>
              <w:t>Responsibility for integration planning has been determined to resolve anticipated conflicts proactively between IWPs.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613"/>
        </w:trPr>
        <w:tc>
          <w:tcPr>
            <w:tcW w:w="895" w:type="dxa"/>
          </w:tcPr>
          <w:p w:rsidR="00795935" w:rsidRDefault="001F4533">
            <w:pPr>
              <w:pStyle w:val="TableParagraph"/>
              <w:ind w:left="303"/>
              <w:rPr>
                <w:sz w:val="20"/>
              </w:rPr>
            </w:pPr>
            <w:r>
              <w:rPr>
                <w:sz w:val="20"/>
              </w:rPr>
              <w:t>6.2</w:t>
            </w:r>
          </w:p>
        </w:tc>
        <w:tc>
          <w:tcPr>
            <w:tcW w:w="4862" w:type="dxa"/>
          </w:tcPr>
          <w:p w:rsidR="00795935" w:rsidRDefault="001F4533">
            <w:pPr>
              <w:pStyle w:val="TableParagraph"/>
              <w:ind w:right="110" w:hanging="1"/>
              <w:rPr>
                <w:sz w:val="20"/>
              </w:rPr>
            </w:pPr>
            <w:r>
              <w:rPr>
                <w:sz w:val="20"/>
              </w:rPr>
              <w:t>Responsibility for material coordination of IWPs has been assigned to dedicated Coordinator(s).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845"/>
        </w:trPr>
        <w:tc>
          <w:tcPr>
            <w:tcW w:w="895" w:type="dxa"/>
          </w:tcPr>
          <w:p w:rsidR="00795935" w:rsidRDefault="001F4533">
            <w:pPr>
              <w:pStyle w:val="TableParagraph"/>
              <w:spacing w:before="70"/>
              <w:ind w:left="303"/>
              <w:rPr>
                <w:sz w:val="20"/>
              </w:rPr>
            </w:pPr>
            <w:r>
              <w:rPr>
                <w:sz w:val="20"/>
              </w:rPr>
              <w:t>6.3</w:t>
            </w:r>
          </w:p>
        </w:tc>
        <w:tc>
          <w:tcPr>
            <w:tcW w:w="4862" w:type="dxa"/>
          </w:tcPr>
          <w:p w:rsidR="00795935" w:rsidRDefault="001F4533">
            <w:pPr>
              <w:pStyle w:val="TableParagraph"/>
              <w:spacing w:before="70"/>
              <w:ind w:right="107"/>
              <w:jc w:val="both"/>
              <w:rPr>
                <w:sz w:val="20"/>
              </w:rPr>
            </w:pPr>
            <w:r>
              <w:rPr>
                <w:sz w:val="20"/>
              </w:rPr>
              <w:t>Responsibility for specialty tools and construction equipment coordination of IWP has been assigned to dedicated Coordinator(s).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3328"/>
        </w:trPr>
        <w:tc>
          <w:tcPr>
            <w:tcW w:w="895" w:type="dxa"/>
          </w:tcPr>
          <w:p w:rsidR="00795935" w:rsidRDefault="001F4533">
            <w:pPr>
              <w:pStyle w:val="TableParagraph"/>
              <w:ind w:left="303"/>
              <w:rPr>
                <w:sz w:val="20"/>
              </w:rPr>
            </w:pPr>
            <w:r>
              <w:rPr>
                <w:sz w:val="20"/>
              </w:rPr>
              <w:t>6.4</w:t>
            </w:r>
          </w:p>
        </w:tc>
        <w:tc>
          <w:tcPr>
            <w:tcW w:w="4862" w:type="dxa"/>
          </w:tcPr>
          <w:p w:rsidR="00795935" w:rsidRDefault="001F4533">
            <w:pPr>
              <w:pStyle w:val="TableParagraph"/>
              <w:ind w:right="106"/>
              <w:jc w:val="both"/>
              <w:rPr>
                <w:sz w:val="20"/>
              </w:rPr>
            </w:pPr>
            <w:r>
              <w:rPr>
                <w:sz w:val="20"/>
              </w:rPr>
              <w:t>The tracking levels and coordination procedures are established for the planners, general foremen, construction superintendent, and resource coordinators to drive the performance during the construction phase.</w:t>
            </w:r>
          </w:p>
          <w:p w:rsidR="00795935" w:rsidRDefault="00795935">
            <w:pPr>
              <w:pStyle w:val="TableParagraph"/>
              <w:spacing w:before="1"/>
              <w:ind w:left="0"/>
              <w:rPr>
                <w:rFonts w:ascii="Times New Roman"/>
                <w:sz w:val="16"/>
              </w:rPr>
            </w:pPr>
          </w:p>
          <w:p w:rsidR="00795935" w:rsidRDefault="001F4533">
            <w:pPr>
              <w:pStyle w:val="TableParagraph"/>
              <w:spacing w:before="0"/>
              <w:ind w:right="105"/>
              <w:jc w:val="both"/>
              <w:rPr>
                <w:b/>
                <w:sz w:val="20"/>
              </w:rPr>
            </w:pPr>
            <w:r>
              <w:rPr>
                <w:b/>
                <w:sz w:val="20"/>
              </w:rPr>
              <w:t xml:space="preserve">Clarification: Consider the use of  a  “war  </w:t>
            </w:r>
            <w:r>
              <w:rPr>
                <w:b/>
                <w:sz w:val="20"/>
              </w:rPr>
              <w:t>room”, a space dedicated to the planning group that allows the planners, coordinators, construction supervisors, and senior construction management  to  graphically display the schedule for updates to progress status and make timely decisions to resolve co</w:t>
            </w:r>
            <w:r>
              <w:rPr>
                <w:b/>
                <w:sz w:val="20"/>
              </w:rPr>
              <w:t>nflicts.</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1948"/>
        </w:trPr>
        <w:tc>
          <w:tcPr>
            <w:tcW w:w="895" w:type="dxa"/>
          </w:tcPr>
          <w:p w:rsidR="00795935" w:rsidRDefault="001F4533">
            <w:pPr>
              <w:pStyle w:val="TableParagraph"/>
              <w:ind w:left="303"/>
              <w:rPr>
                <w:sz w:val="20"/>
              </w:rPr>
            </w:pPr>
            <w:r>
              <w:rPr>
                <w:sz w:val="20"/>
              </w:rPr>
              <w:t>6.5</w:t>
            </w:r>
          </w:p>
        </w:tc>
        <w:tc>
          <w:tcPr>
            <w:tcW w:w="4862" w:type="dxa"/>
          </w:tcPr>
          <w:p w:rsidR="00795935" w:rsidRDefault="001F4533">
            <w:pPr>
              <w:pStyle w:val="TableParagraph"/>
              <w:ind w:right="107"/>
              <w:jc w:val="both"/>
              <w:rPr>
                <w:sz w:val="20"/>
              </w:rPr>
            </w:pPr>
            <w:r>
              <w:rPr>
                <w:sz w:val="20"/>
              </w:rPr>
              <w:t>IWP Status (progress and cost) is tracked in a visible way, including completion of IWP against targets.</w:t>
            </w:r>
          </w:p>
          <w:p w:rsidR="00795935" w:rsidRDefault="00795935">
            <w:pPr>
              <w:pStyle w:val="TableParagraph"/>
              <w:spacing w:before="0"/>
              <w:ind w:left="0"/>
              <w:rPr>
                <w:rFonts w:ascii="Times New Roman"/>
                <w:sz w:val="16"/>
              </w:rPr>
            </w:pPr>
          </w:p>
          <w:p w:rsidR="00795935" w:rsidRDefault="001F4533">
            <w:pPr>
              <w:pStyle w:val="TableParagraph"/>
              <w:spacing w:before="0"/>
              <w:ind w:right="107"/>
              <w:jc w:val="both"/>
              <w:rPr>
                <w:b/>
                <w:sz w:val="20"/>
              </w:rPr>
            </w:pPr>
            <w:r>
              <w:rPr>
                <w:b/>
                <w:sz w:val="20"/>
              </w:rPr>
              <w:t>Clarification: The project control tools are capable of providing the information on cost and schedule for the agreed IWP status tracking level.</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795935" w:rsidRDefault="00795935">
      <w:pPr>
        <w:sectPr w:rsidR="00795935">
          <w:pgSz w:w="15840" w:h="12240" w:orient="landscape"/>
          <w:pgMar w:top="1460" w:right="0" w:bottom="880" w:left="2160" w:header="590" w:footer="689" w:gutter="0"/>
          <w:cols w:space="720"/>
        </w:sectPr>
      </w:pPr>
    </w:p>
    <w:p w:rsidR="00795935" w:rsidRDefault="00795935">
      <w:pPr>
        <w:pStyle w:val="BodyText"/>
        <w:rPr>
          <w:rFonts w:ascii="Times New Roman"/>
        </w:rPr>
      </w:pPr>
    </w:p>
    <w:p w:rsidR="00795935" w:rsidRDefault="00795935">
      <w:pPr>
        <w:pStyle w:val="BodyText"/>
        <w:spacing w:before="10" w:after="1"/>
        <w:rPr>
          <w:rFonts w:ascii="Times New Roman"/>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862"/>
        <w:gridCol w:w="631"/>
        <w:gridCol w:w="632"/>
        <w:gridCol w:w="632"/>
        <w:gridCol w:w="631"/>
        <w:gridCol w:w="636"/>
        <w:gridCol w:w="3319"/>
      </w:tblGrid>
      <w:tr w:rsidR="00795935">
        <w:trPr>
          <w:trHeight w:hRule="exact" w:val="614"/>
        </w:trPr>
        <w:tc>
          <w:tcPr>
            <w:tcW w:w="895" w:type="dxa"/>
          </w:tcPr>
          <w:p w:rsidR="00795935" w:rsidRDefault="001F4533">
            <w:pPr>
              <w:pStyle w:val="TableParagraph"/>
              <w:ind w:left="227" w:right="227"/>
              <w:jc w:val="center"/>
              <w:rPr>
                <w:sz w:val="20"/>
              </w:rPr>
            </w:pPr>
            <w:r>
              <w:rPr>
                <w:sz w:val="20"/>
              </w:rPr>
              <w:t>6.6</w:t>
            </w:r>
          </w:p>
        </w:tc>
        <w:tc>
          <w:tcPr>
            <w:tcW w:w="4862" w:type="dxa"/>
          </w:tcPr>
          <w:p w:rsidR="00795935" w:rsidRDefault="001F4533">
            <w:pPr>
              <w:pStyle w:val="TableParagraph"/>
              <w:rPr>
                <w:sz w:val="20"/>
              </w:rPr>
            </w:pPr>
            <w:r>
              <w:rPr>
                <w:sz w:val="20"/>
              </w:rPr>
              <w:t>Adequate management audits undertaken to ensure that the above rules are being followed.</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r w:rsidR="00795935">
        <w:trPr>
          <w:trHeight w:hRule="exact" w:val="430"/>
        </w:trPr>
        <w:tc>
          <w:tcPr>
            <w:tcW w:w="895" w:type="dxa"/>
          </w:tcPr>
          <w:p w:rsidR="00795935" w:rsidRDefault="00795935"/>
        </w:tc>
        <w:tc>
          <w:tcPr>
            <w:tcW w:w="4862" w:type="dxa"/>
          </w:tcPr>
          <w:p w:rsidR="00795935" w:rsidRDefault="001F4533">
            <w:pPr>
              <w:pStyle w:val="TableParagraph"/>
              <w:ind w:right="110"/>
              <w:rPr>
                <w:sz w:val="24"/>
              </w:rPr>
            </w:pPr>
            <w:r>
              <w:rPr>
                <w:b/>
                <w:sz w:val="24"/>
              </w:rPr>
              <w:t xml:space="preserve">Section 6.0 Total </w:t>
            </w:r>
            <w:r>
              <w:rPr>
                <w:sz w:val="24"/>
              </w:rPr>
              <w:t>(out of 30)</w:t>
            </w:r>
          </w:p>
        </w:tc>
        <w:tc>
          <w:tcPr>
            <w:tcW w:w="631" w:type="dxa"/>
          </w:tcPr>
          <w:p w:rsidR="00795935" w:rsidRDefault="00795935"/>
        </w:tc>
        <w:tc>
          <w:tcPr>
            <w:tcW w:w="632" w:type="dxa"/>
          </w:tcPr>
          <w:p w:rsidR="00795935" w:rsidRDefault="00795935"/>
        </w:tc>
        <w:tc>
          <w:tcPr>
            <w:tcW w:w="632" w:type="dxa"/>
          </w:tcPr>
          <w:p w:rsidR="00795935" w:rsidRDefault="00795935"/>
        </w:tc>
        <w:tc>
          <w:tcPr>
            <w:tcW w:w="631" w:type="dxa"/>
          </w:tcPr>
          <w:p w:rsidR="00795935" w:rsidRDefault="00795935"/>
        </w:tc>
        <w:tc>
          <w:tcPr>
            <w:tcW w:w="636" w:type="dxa"/>
          </w:tcPr>
          <w:p w:rsidR="00795935" w:rsidRDefault="00795935"/>
        </w:tc>
        <w:tc>
          <w:tcPr>
            <w:tcW w:w="3319" w:type="dxa"/>
          </w:tcPr>
          <w:p w:rsidR="00795935" w:rsidRDefault="00795935"/>
        </w:tc>
      </w:tr>
    </w:tbl>
    <w:p w:rsidR="00000000" w:rsidRDefault="001F4533"/>
    <w:sectPr w:rsidR="00000000">
      <w:pgSz w:w="15840" w:h="12240" w:orient="landscape"/>
      <w:pgMar w:top="1460" w:right="0" w:bottom="880" w:left="2160" w:header="59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4533">
      <w:r>
        <w:separator/>
      </w:r>
    </w:p>
  </w:endnote>
  <w:endnote w:type="continuationSeparator" w:id="0">
    <w:p w:rsidR="00000000" w:rsidRDefault="001F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35" w:rsidRDefault="001F4533">
    <w:pPr>
      <w:pStyle w:val="BodyText"/>
      <w:spacing w:line="14" w:lineRule="auto"/>
    </w:pPr>
    <w:r>
      <w:pict>
        <v:shapetype id="_x0000_t202" coordsize="21600,21600" o:spt="202" path="m,l,21600r21600,l21600,xe">
          <v:stroke joinstyle="miter"/>
          <v:path gradientshapeok="t" o:connecttype="rect"/>
        </v:shapetype>
        <v:shape id="_x0000_s1026" type="#_x0000_t202" style="position:absolute;margin-left:112.75pt;margin-top:566.55pt;width:161.3pt;height:11pt;z-index:-36376;mso-position-horizontal-relative:page;mso-position-vertical-relative:page" filled="f" stroked="f">
          <v:textbox inset="0,0,0,0">
            <w:txbxContent>
              <w:p w:rsidR="00795935" w:rsidRDefault="001F4533">
                <w:pPr>
                  <w:spacing w:line="203" w:lineRule="exact"/>
                  <w:ind w:left="20" w:right="-1"/>
                  <w:rPr>
                    <w:rFonts w:ascii="Calibri"/>
                    <w:sz w:val="18"/>
                  </w:rPr>
                </w:pPr>
                <w:r>
                  <w:rPr>
                    <w:rFonts w:ascii="Calibri"/>
                    <w:sz w:val="18"/>
                  </w:rPr>
                  <w:t>WFP-TMP-2013-108-A AWP Scorecard.docx</w:t>
                </w:r>
              </w:p>
            </w:txbxContent>
          </v:textbox>
          <w10:wrap anchorx="page" anchory="page"/>
        </v:shape>
      </w:pict>
    </w:r>
    <w:r>
      <w:pict>
        <v:shape id="_x0000_s1025" type="#_x0000_t202" style="position:absolute;margin-left:652.75pt;margin-top:566.55pt;width:42.5pt;height:11pt;z-index:-36352;mso-position-horizontal-relative:page;mso-position-vertical-relative:page" filled="f" stroked="f">
          <v:textbox inset="0,0,0,0">
            <w:txbxContent>
              <w:p w:rsidR="00795935" w:rsidRDefault="001F4533">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rPr>
                    <w:rFonts w:ascii="Calibri"/>
                    <w:noProof/>
                    <w:sz w:val="18"/>
                  </w:rPr>
                  <w:t>1</w:t>
                </w:r>
                <w:r>
                  <w:fldChar w:fldCharType="end"/>
                </w:r>
                <w:r>
                  <w:rPr>
                    <w:rFonts w:ascii="Calibri"/>
                    <w:sz w:val="18"/>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4533">
      <w:r>
        <w:separator/>
      </w:r>
    </w:p>
  </w:footnote>
  <w:footnote w:type="continuationSeparator" w:id="0">
    <w:p w:rsidR="00000000" w:rsidRDefault="001F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35" w:rsidRDefault="001F4533">
    <w:pPr>
      <w:pStyle w:val="BodyText"/>
      <w:spacing w:line="14" w:lineRule="auto"/>
    </w:pPr>
    <w:r>
      <w:pict>
        <v:shapetype id="_x0000_t202" coordsize="21600,21600" o:spt="202" path="m,l,21600r21600,l21600,xe">
          <v:stroke joinstyle="miter"/>
          <v:path gradientshapeok="t" o:connecttype="rect"/>
        </v:shapetype>
        <v:shape id="_x0000_s1027" type="#_x0000_t202" style="position:absolute;margin-left:506.65pt;margin-top:35.55pt;width:238.45pt;height:35.3pt;z-index:-36400;mso-position-horizontal-relative:page;mso-position-vertical-relative:page" filled="f" stroked="f">
          <v:textbox inset="0,0,0,0">
            <w:txbxContent>
              <w:p w:rsidR="00795935" w:rsidRDefault="00795935">
                <w:pPr>
                  <w:pStyle w:val="BodyText"/>
                  <w:spacing w:line="224" w:lineRule="exact"/>
                  <w:ind w:right="21"/>
                  <w:jc w:val="right"/>
                </w:pPr>
              </w:p>
              <w:p w:rsidR="001F4533" w:rsidRDefault="001F4533" w:rsidP="001F4533">
                <w:pPr>
                  <w:spacing w:line="242" w:lineRule="auto"/>
                  <w:ind w:left="468" w:right="22" w:hanging="449"/>
                  <w:jc w:val="right"/>
                  <w:rPr>
                    <w:rFonts w:ascii="Lucida Sans" w:eastAsia="Calibri" w:hAnsi="Calibri" w:cs="Calibri"/>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COP-WFP-TMP-18</w:t>
                </w:r>
                <w:r>
                  <w:rPr>
                    <w:rFonts w:ascii="Lucida Sans"/>
                    <w:spacing w:val="-2"/>
                    <w:w w:val="110"/>
                    <w:sz w:val="19"/>
                  </w:rPr>
                  <w:t>-2013-v1</w:t>
                </w:r>
              </w:p>
              <w:p w:rsidR="00795935" w:rsidRDefault="00795935">
                <w:pPr>
                  <w:pStyle w:val="BodyText"/>
                  <w:spacing w:line="234" w:lineRule="exact"/>
                  <w:ind w:right="18"/>
                  <w:jc w:val="right"/>
                </w:pPr>
              </w:p>
            </w:txbxContent>
          </v:textbox>
          <w10:wrap anchorx="page" anchory="page"/>
        </v:shape>
      </w:pict>
    </w:r>
    <w:r>
      <w:pict>
        <v:group id="_x0000_s1028" style="position:absolute;margin-left:122.35pt;margin-top:29.5pt;width:670.3pt;height:44pt;z-index:-36424;mso-position-horizontal-relative:page;mso-position-vertical-relative:page" coordorigin="2447,590" coordsize="13406,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47;top:590;width:1945;height:850">
            <v:imagedata r:id="rId1" o:title=""/>
          </v:shape>
          <v:line id="_x0000_s1029" style="position:absolute" from="3715,1458" to="15841,1458" strokecolor="#361b0c" strokeweight="1.2pt"/>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795935"/>
    <w:rsid w:val="001F4533"/>
    <w:rsid w:val="00795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09B0BD1"/>
  <w15:docId w15:val="{6FAC63A8-2C29-4407-94DC-D1586017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Lucida Sans" w:eastAsia="Lucida Sans" w:hAnsi="Lucida Sans" w:cs="Lucida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110"/>
    </w:pPr>
  </w:style>
  <w:style w:type="paragraph" w:styleId="Header">
    <w:name w:val="header"/>
    <w:basedOn w:val="Normal"/>
    <w:link w:val="HeaderChar"/>
    <w:uiPriority w:val="99"/>
    <w:unhideWhenUsed/>
    <w:rsid w:val="001F4533"/>
    <w:pPr>
      <w:tabs>
        <w:tab w:val="center" w:pos="4680"/>
        <w:tab w:val="right" w:pos="9360"/>
      </w:tabs>
    </w:pPr>
  </w:style>
  <w:style w:type="character" w:customStyle="1" w:styleId="HeaderChar">
    <w:name w:val="Header Char"/>
    <w:basedOn w:val="DefaultParagraphFont"/>
    <w:link w:val="Header"/>
    <w:uiPriority w:val="99"/>
    <w:rsid w:val="001F4533"/>
    <w:rPr>
      <w:rFonts w:ascii="Arial" w:eastAsia="Arial" w:hAnsi="Arial" w:cs="Arial"/>
    </w:rPr>
  </w:style>
  <w:style w:type="paragraph" w:styleId="Footer">
    <w:name w:val="footer"/>
    <w:basedOn w:val="Normal"/>
    <w:link w:val="FooterChar"/>
    <w:uiPriority w:val="99"/>
    <w:unhideWhenUsed/>
    <w:rsid w:val="001F4533"/>
    <w:pPr>
      <w:tabs>
        <w:tab w:val="center" w:pos="4680"/>
        <w:tab w:val="right" w:pos="9360"/>
      </w:tabs>
    </w:pPr>
  </w:style>
  <w:style w:type="character" w:customStyle="1" w:styleId="FooterChar">
    <w:name w:val="Footer Char"/>
    <w:basedOn w:val="DefaultParagraphFont"/>
    <w:link w:val="Footer"/>
    <w:uiPriority w:val="99"/>
    <w:rsid w:val="001F45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WFP-TMP-2013-108-A AWP Scorecard.docx</dc:title>
  <dc:creator>ASI Group</dc:creator>
  <cp:lastModifiedBy>Jennifer Cummings-COAA</cp:lastModifiedBy>
  <cp:revision>2</cp:revision>
  <dcterms:created xsi:type="dcterms:W3CDTF">2016-08-03T14:54:00Z</dcterms:created>
  <dcterms:modified xsi:type="dcterms:W3CDTF">2016-09-20T19:43:00Z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2013-02-24T00:00:00Z</vt:filetime>
  </property>
  <property fmtid="{D5CDD505-2E9C-101B-9397-08002B2CF9AE}" pid="3" name="Creator">
    <vt:lpwstr>PScript5.dll Version 5.2.2</vt:lpwstr>
  </property>
  <property fmtid="{D5CDD505-2E9C-101B-9397-08002B2CF9AE}" pid="4" name="LastSaved">
    <vt:filetime>2016-08-03T00:00:00Z</vt:filetime>
  </property>
</Properties>
</file>